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25, 2018.</w:t>
      </w:r>
    </w:p>
    <w:p>
      <w:pPr>
        <w:jc w:val="right"/>
        <w:spacing w:after="0"/>
        <w:rPr>
          <w:sz w:val="20"/>
          <w:szCs w:val="20"/>
          <w:color w:val="auto"/>
        </w:rPr>
      </w:pPr>
      <w:r>
        <w:rPr>
          <w:rFonts w:ascii="Arial" w:cs="Arial" w:eastAsia="Arial" w:hAnsi="Arial"/>
          <w:sz w:val="16"/>
          <w:szCs w:val="16"/>
          <w:b w:val="1"/>
          <w:bCs w:val="1"/>
          <w:color w:val="auto"/>
        </w:rPr>
        <w:t>Registration No. 333-221472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UNITED STATES</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AMENDMENT NO. 6</w:t>
      </w:r>
    </w:p>
    <w:p>
      <w:pPr>
        <w:spacing w:after="0" w:line="1" w:lineRule="exact"/>
        <w:rPr>
          <w:sz w:val="24"/>
          <w:szCs w:val="24"/>
          <w:color w:val="auto"/>
        </w:rPr>
      </w:pPr>
    </w:p>
    <w:p>
      <w:pPr>
        <w:ind w:left="5600"/>
        <w:spacing w:after="0"/>
        <w:rPr>
          <w:sz w:val="20"/>
          <w:szCs w:val="20"/>
          <w:color w:val="auto"/>
        </w:rPr>
      </w:pPr>
      <w:r>
        <w:rPr>
          <w:rFonts w:ascii="Arial" w:cs="Arial" w:eastAsia="Arial" w:hAnsi="Arial"/>
          <w:sz w:val="16"/>
          <w:szCs w:val="16"/>
          <w:b w:val="1"/>
          <w:bCs w:val="1"/>
          <w:color w:val="auto"/>
        </w:rPr>
        <w:t>TO</w:t>
      </w:r>
    </w:p>
    <w:p>
      <w:pPr>
        <w:ind w:left="5300"/>
        <w:spacing w:after="0" w:line="229" w:lineRule="auto"/>
        <w:rPr>
          <w:sz w:val="20"/>
          <w:szCs w:val="20"/>
          <w:color w:val="auto"/>
        </w:rPr>
      </w:pPr>
      <w:r>
        <w:rPr>
          <w:rFonts w:ascii="Arial" w:cs="Arial" w:eastAsia="Arial" w:hAnsi="Arial"/>
          <w:sz w:val="16"/>
          <w:szCs w:val="16"/>
          <w:b w:val="1"/>
          <w:bCs w:val="1"/>
          <w:color w:val="auto"/>
        </w:rPr>
        <w:t>FORM F-1</w:t>
      </w:r>
    </w:p>
    <w:p>
      <w:pPr>
        <w:ind w:left="4560"/>
        <w:spacing w:after="0" w:line="229" w:lineRule="auto"/>
        <w:rPr>
          <w:sz w:val="20"/>
          <w:szCs w:val="20"/>
          <w:color w:val="auto"/>
        </w:rPr>
      </w:pPr>
      <w:r>
        <w:rPr>
          <w:rFonts w:ascii="Arial" w:cs="Arial" w:eastAsia="Arial" w:hAnsi="Arial"/>
          <w:sz w:val="16"/>
          <w:szCs w:val="16"/>
          <w:b w:val="1"/>
          <w:bCs w:val="1"/>
          <w:color w:val="auto"/>
        </w:rPr>
        <w:t>REGISTRATION STATEMENT</w:t>
      </w:r>
    </w:p>
    <w:p>
      <w:pPr>
        <w:ind w:left="4220"/>
        <w:spacing w:after="0"/>
        <w:rPr>
          <w:sz w:val="20"/>
          <w:szCs w:val="20"/>
          <w:color w:val="auto"/>
        </w:rPr>
      </w:pPr>
      <w:r>
        <w:rPr>
          <w:rFonts w:ascii="Arial" w:cs="Arial" w:eastAsia="Arial" w:hAnsi="Arial"/>
          <w:sz w:val="16"/>
          <w:szCs w:val="16"/>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ENTERA BIO LTD.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73660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tbl>
      <w:tblPr>
        <w:tblLayout w:type="fixed"/>
        <w:tblInd w:w="980" w:type="dxa"/>
        <w:tblCellMar>
          <w:top w:w="0" w:type="dxa"/>
          <w:left w:w="0" w:type="dxa"/>
          <w:bottom w:w="0" w:type="dxa"/>
          <w:right w:w="0" w:type="dxa"/>
        </w:tblCellMar>
      </w:tblPr>
      <w:tr>
        <w:trPr>
          <w:trHeight w:val="195"/>
        </w:trPr>
        <w:tc>
          <w:tcPr>
            <w:tcW w:w="2840" w:type="dxa"/>
            <w:vAlign w:val="bottom"/>
          </w:tcPr>
          <w:p>
            <w:pPr>
              <w:jc w:val="center"/>
              <w:ind w:right="984"/>
              <w:spacing w:after="0"/>
              <w:rPr>
                <w:sz w:val="20"/>
                <w:szCs w:val="20"/>
                <w:color w:val="auto"/>
              </w:rPr>
            </w:pPr>
            <w:r>
              <w:rPr>
                <w:rFonts w:ascii="Arial" w:cs="Arial" w:eastAsia="Arial" w:hAnsi="Arial"/>
                <w:sz w:val="17"/>
                <w:szCs w:val="17"/>
                <w:b w:val="1"/>
                <w:bCs w:val="1"/>
                <w:color w:val="auto"/>
                <w:w w:val="91"/>
              </w:rPr>
              <w:t>State of Israel</w:t>
            </w:r>
          </w:p>
        </w:tc>
        <w:tc>
          <w:tcPr>
            <w:tcW w:w="3980" w:type="dxa"/>
            <w:vAlign w:val="bottom"/>
          </w:tcPr>
          <w:p>
            <w:pPr>
              <w:jc w:val="center"/>
              <w:ind w:right="104"/>
              <w:spacing w:after="0"/>
              <w:rPr>
                <w:sz w:val="20"/>
                <w:szCs w:val="20"/>
                <w:color w:val="auto"/>
              </w:rPr>
            </w:pPr>
            <w:r>
              <w:rPr>
                <w:rFonts w:ascii="Arial" w:cs="Arial" w:eastAsia="Arial" w:hAnsi="Arial"/>
                <w:sz w:val="17"/>
                <w:szCs w:val="17"/>
                <w:b w:val="1"/>
                <w:bCs w:val="1"/>
                <w:color w:val="auto"/>
                <w:w w:val="95"/>
              </w:rPr>
              <w:t>2836</w:t>
            </w:r>
          </w:p>
        </w:tc>
        <w:tc>
          <w:tcPr>
            <w:tcW w:w="2320" w:type="dxa"/>
            <w:vAlign w:val="bottom"/>
          </w:tcPr>
          <w:p>
            <w:pPr>
              <w:jc w:val="center"/>
              <w:ind w:left="1144"/>
              <w:spacing w:after="0"/>
              <w:rPr>
                <w:sz w:val="20"/>
                <w:szCs w:val="20"/>
                <w:color w:val="auto"/>
              </w:rPr>
            </w:pPr>
            <w:r>
              <w:rPr>
                <w:rFonts w:ascii="Arial" w:cs="Arial" w:eastAsia="Arial" w:hAnsi="Arial"/>
                <w:sz w:val="17"/>
                <w:szCs w:val="17"/>
                <w:b w:val="1"/>
                <w:bCs w:val="1"/>
                <w:color w:val="auto"/>
                <w:w w:val="92"/>
              </w:rPr>
              <w:t>Not Applicable</w:t>
            </w:r>
          </w:p>
        </w:tc>
      </w:tr>
      <w:tr>
        <w:trPr>
          <w:trHeight w:val="140"/>
        </w:trPr>
        <w:tc>
          <w:tcPr>
            <w:tcW w:w="2840" w:type="dxa"/>
            <w:vAlign w:val="bottom"/>
          </w:tcPr>
          <w:p>
            <w:pPr>
              <w:jc w:val="center"/>
              <w:ind w:right="964"/>
              <w:spacing w:after="0" w:line="141" w:lineRule="exact"/>
              <w:rPr>
                <w:sz w:val="20"/>
                <w:szCs w:val="20"/>
                <w:color w:val="auto"/>
              </w:rPr>
            </w:pPr>
            <w:r>
              <w:rPr>
                <w:rFonts w:ascii="Arial" w:cs="Arial" w:eastAsia="Arial" w:hAnsi="Arial"/>
                <w:sz w:val="14"/>
                <w:szCs w:val="14"/>
                <w:color w:val="auto"/>
                <w:w w:val="94"/>
              </w:rPr>
              <w:t>(State or Other Jurisdiction of</w:t>
            </w:r>
          </w:p>
        </w:tc>
        <w:tc>
          <w:tcPr>
            <w:tcW w:w="3980" w:type="dxa"/>
            <w:vAlign w:val="bottom"/>
          </w:tcPr>
          <w:p>
            <w:pPr>
              <w:jc w:val="center"/>
              <w:ind w:right="104"/>
              <w:spacing w:after="0" w:line="141" w:lineRule="exact"/>
              <w:rPr>
                <w:sz w:val="20"/>
                <w:szCs w:val="20"/>
                <w:color w:val="auto"/>
              </w:rPr>
            </w:pPr>
            <w:r>
              <w:rPr>
                <w:rFonts w:ascii="Arial" w:cs="Arial" w:eastAsia="Arial" w:hAnsi="Arial"/>
                <w:sz w:val="14"/>
                <w:szCs w:val="14"/>
                <w:color w:val="auto"/>
                <w:w w:val="94"/>
              </w:rPr>
              <w:t>(Primary Standard Industrial</w:t>
            </w:r>
          </w:p>
        </w:tc>
        <w:tc>
          <w:tcPr>
            <w:tcW w:w="2320" w:type="dxa"/>
            <w:vAlign w:val="bottom"/>
          </w:tcPr>
          <w:p>
            <w:pPr>
              <w:jc w:val="center"/>
              <w:ind w:left="1144"/>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2840" w:type="dxa"/>
            <w:vAlign w:val="bottom"/>
          </w:tcPr>
          <w:p>
            <w:pPr>
              <w:jc w:val="center"/>
              <w:ind w:right="984"/>
              <w:spacing w:after="0"/>
              <w:rPr>
                <w:sz w:val="20"/>
                <w:szCs w:val="20"/>
                <w:color w:val="auto"/>
              </w:rPr>
            </w:pPr>
            <w:r>
              <w:rPr>
                <w:rFonts w:ascii="Arial" w:cs="Arial" w:eastAsia="Arial" w:hAnsi="Arial"/>
                <w:sz w:val="14"/>
                <w:szCs w:val="14"/>
                <w:color w:val="auto"/>
                <w:w w:val="95"/>
              </w:rPr>
              <w:t>Incorporation or Organization)</w:t>
            </w:r>
          </w:p>
        </w:tc>
        <w:tc>
          <w:tcPr>
            <w:tcW w:w="3980" w:type="dxa"/>
            <w:vAlign w:val="bottom"/>
          </w:tcPr>
          <w:p>
            <w:pPr>
              <w:jc w:val="center"/>
              <w:ind w:right="104"/>
              <w:spacing w:after="0"/>
              <w:rPr>
                <w:sz w:val="20"/>
                <w:szCs w:val="20"/>
                <w:color w:val="auto"/>
              </w:rPr>
            </w:pPr>
            <w:r>
              <w:rPr>
                <w:rFonts w:ascii="Arial" w:cs="Arial" w:eastAsia="Arial" w:hAnsi="Arial"/>
                <w:sz w:val="14"/>
                <w:szCs w:val="14"/>
                <w:color w:val="auto"/>
                <w:w w:val="94"/>
              </w:rPr>
              <w:t>Classification Code Number)</w:t>
            </w:r>
          </w:p>
        </w:tc>
        <w:tc>
          <w:tcPr>
            <w:tcW w:w="2320" w:type="dxa"/>
            <w:vAlign w:val="bottom"/>
          </w:tcPr>
          <w:p>
            <w:pPr>
              <w:jc w:val="center"/>
              <w:ind w:left="1144"/>
              <w:spacing w:after="0"/>
              <w:rPr>
                <w:sz w:val="20"/>
                <w:szCs w:val="20"/>
                <w:color w:val="auto"/>
              </w:rPr>
            </w:pPr>
            <w:r>
              <w:rPr>
                <w:rFonts w:ascii="Arial" w:cs="Arial" w:eastAsia="Arial" w:hAnsi="Arial"/>
                <w:sz w:val="14"/>
                <w:szCs w:val="14"/>
                <w:color w:val="auto"/>
                <w:w w:val="97"/>
              </w:rPr>
              <w:t>Identification No.)</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Entera Bio Ltd.</w:t>
      </w:r>
    </w:p>
    <w:p>
      <w:pPr>
        <w:jc w:val="center"/>
        <w:spacing w:after="0" w:line="211" w:lineRule="auto"/>
        <w:rPr>
          <w:sz w:val="20"/>
          <w:szCs w:val="20"/>
          <w:color w:val="auto"/>
        </w:rPr>
      </w:pPr>
      <w:r>
        <w:rPr>
          <w:rFonts w:ascii="Arial" w:cs="Arial" w:eastAsia="Arial" w:hAnsi="Arial"/>
          <w:sz w:val="16"/>
          <w:szCs w:val="16"/>
          <w:b w:val="1"/>
          <w:bCs w:val="1"/>
          <w:color w:val="auto"/>
        </w:rPr>
        <w:t>Kiryat Hadassah</w:t>
      </w:r>
    </w:p>
    <w:p>
      <w:pPr>
        <w:jc w:val="center"/>
        <w:spacing w:after="0" w:line="211" w:lineRule="auto"/>
        <w:rPr>
          <w:sz w:val="20"/>
          <w:szCs w:val="20"/>
          <w:color w:val="auto"/>
        </w:rPr>
      </w:pPr>
      <w:r>
        <w:rPr>
          <w:rFonts w:ascii="Arial" w:cs="Arial" w:eastAsia="Arial" w:hAnsi="Arial"/>
          <w:sz w:val="16"/>
          <w:szCs w:val="16"/>
          <w:b w:val="1"/>
          <w:bCs w:val="1"/>
          <w:color w:val="auto"/>
        </w:rPr>
        <w:t>Minrav Building – Fifth Floor</w:t>
      </w:r>
    </w:p>
    <w:p>
      <w:pPr>
        <w:jc w:val="center"/>
        <w:spacing w:after="0" w:line="212" w:lineRule="auto"/>
        <w:rPr>
          <w:sz w:val="20"/>
          <w:szCs w:val="20"/>
          <w:color w:val="auto"/>
        </w:rPr>
      </w:pPr>
      <w:r>
        <w:rPr>
          <w:rFonts w:ascii="Arial" w:cs="Arial" w:eastAsia="Arial" w:hAnsi="Arial"/>
          <w:sz w:val="16"/>
          <w:szCs w:val="16"/>
          <w:b w:val="1"/>
          <w:bCs w:val="1"/>
          <w:color w:val="auto"/>
        </w:rPr>
        <w:t>Jerusalem 9112002</w:t>
      </w:r>
    </w:p>
    <w:p>
      <w:pPr>
        <w:jc w:val="center"/>
        <w:ind w:right="40"/>
        <w:spacing w:after="0" w:line="211" w:lineRule="auto"/>
        <w:rPr>
          <w:sz w:val="20"/>
          <w:szCs w:val="20"/>
          <w:color w:val="auto"/>
        </w:rPr>
      </w:pPr>
      <w:r>
        <w:rPr>
          <w:rFonts w:ascii="Arial" w:cs="Arial" w:eastAsia="Arial" w:hAnsi="Arial"/>
          <w:sz w:val="16"/>
          <w:szCs w:val="16"/>
          <w:b w:val="1"/>
          <w:bCs w:val="1"/>
          <w:color w:val="auto"/>
        </w:rPr>
        <w:t>Israel</w:t>
      </w:r>
    </w:p>
    <w:p>
      <w:pPr>
        <w:jc w:val="center"/>
        <w:ind w:right="40"/>
        <w:spacing w:after="0" w:line="212" w:lineRule="auto"/>
        <w:rPr>
          <w:sz w:val="20"/>
          <w:szCs w:val="20"/>
          <w:color w:val="auto"/>
        </w:rPr>
      </w:pPr>
      <w:r>
        <w:rPr>
          <w:rFonts w:ascii="Arial" w:cs="Arial" w:eastAsia="Arial" w:hAnsi="Arial"/>
          <w:sz w:val="16"/>
          <w:szCs w:val="16"/>
          <w:b w:val="1"/>
          <w:bCs w:val="1"/>
          <w:color w:val="auto"/>
        </w:rPr>
        <w:t>+972 (2) 532-7151</w:t>
      </w: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43180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Cogency Global Inc.</w:t>
      </w:r>
    </w:p>
    <w:p>
      <w:pPr>
        <w:ind w:left="4780"/>
        <w:spacing w:after="0" w:line="183" w:lineRule="auto"/>
        <w:rPr>
          <w:sz w:val="20"/>
          <w:szCs w:val="20"/>
          <w:color w:val="auto"/>
        </w:rPr>
      </w:pPr>
      <w:r>
        <w:rPr>
          <w:rFonts w:ascii="Arial" w:cs="Arial" w:eastAsia="Arial" w:hAnsi="Arial"/>
          <w:sz w:val="16"/>
          <w:szCs w:val="16"/>
          <w:b w:val="1"/>
          <w:bCs w:val="1"/>
          <w:color w:val="auto"/>
        </w:rPr>
        <w:t>10 E 40</w:t>
      </w:r>
      <w:r>
        <w:rPr>
          <w:rFonts w:ascii="Arial" w:cs="Arial" w:eastAsia="Arial" w:hAnsi="Arial"/>
          <w:sz w:val="24"/>
          <w:szCs w:val="24"/>
          <w:b w:val="1"/>
          <w:bCs w:val="1"/>
          <w:color w:val="auto"/>
          <w:vertAlign w:val="superscript"/>
        </w:rPr>
        <w:t>th</w:t>
      </w:r>
      <w:r>
        <w:rPr>
          <w:rFonts w:ascii="Arial" w:cs="Arial" w:eastAsia="Arial" w:hAnsi="Arial"/>
          <w:sz w:val="16"/>
          <w:szCs w:val="16"/>
          <w:b w:val="1"/>
          <w:bCs w:val="1"/>
          <w:color w:val="auto"/>
        </w:rPr>
        <w:t xml:space="preserve"> Street, 10</w:t>
      </w:r>
      <w:r>
        <w:rPr>
          <w:rFonts w:ascii="Arial" w:cs="Arial" w:eastAsia="Arial" w:hAnsi="Arial"/>
          <w:sz w:val="24"/>
          <w:szCs w:val="24"/>
          <w:b w:val="1"/>
          <w:bCs w:val="1"/>
          <w:color w:val="auto"/>
          <w:vertAlign w:val="superscript"/>
        </w:rPr>
        <w:t>th</w:t>
      </w:r>
      <w:r>
        <w:rPr>
          <w:rFonts w:ascii="Arial" w:cs="Arial" w:eastAsia="Arial" w:hAnsi="Arial"/>
          <w:sz w:val="16"/>
          <w:szCs w:val="16"/>
          <w:b w:val="1"/>
          <w:bCs w:val="1"/>
          <w:color w:val="auto"/>
        </w:rPr>
        <w:t xml:space="preserve"> Floor</w:t>
      </w:r>
    </w:p>
    <w:p>
      <w:pPr>
        <w:jc w:val="center"/>
        <w:spacing w:after="0" w:line="212" w:lineRule="auto"/>
        <w:rPr>
          <w:sz w:val="20"/>
          <w:szCs w:val="20"/>
          <w:color w:val="auto"/>
        </w:rPr>
      </w:pPr>
      <w:r>
        <w:rPr>
          <w:rFonts w:ascii="Arial" w:cs="Arial" w:eastAsia="Arial" w:hAnsi="Arial"/>
          <w:sz w:val="16"/>
          <w:szCs w:val="16"/>
          <w:b w:val="1"/>
          <w:bCs w:val="1"/>
          <w:color w:val="auto"/>
        </w:rPr>
        <w:t>New York, New York 10016</w:t>
      </w:r>
    </w:p>
    <w:p>
      <w:pPr>
        <w:jc w:val="center"/>
        <w:spacing w:after="0" w:line="232" w:lineRule="auto"/>
        <w:rPr>
          <w:sz w:val="20"/>
          <w:szCs w:val="20"/>
          <w:color w:val="auto"/>
        </w:rPr>
      </w:pPr>
      <w:r>
        <w:rPr>
          <w:rFonts w:ascii="Arial" w:cs="Arial" w:eastAsia="Arial" w:hAnsi="Arial"/>
          <w:sz w:val="16"/>
          <w:szCs w:val="16"/>
          <w:b w:val="1"/>
          <w:bCs w:val="1"/>
          <w:color w:val="auto"/>
        </w:rPr>
        <w:t>+1 (800) 221-0102</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73660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tbl>
      <w:tblPr>
        <w:tblLayout w:type="fixed"/>
        <w:tblInd w:w="38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34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Copies to:</w:t>
            </w:r>
          </w:p>
        </w:tc>
        <w:tc>
          <w:tcPr>
            <w:tcW w:w="2220" w:type="dxa"/>
            <w:vAlign w:val="bottom"/>
          </w:tcPr>
          <w:p>
            <w:pPr>
              <w:spacing w:after="0"/>
              <w:rPr>
                <w:sz w:val="17"/>
                <w:szCs w:val="17"/>
                <w:color w:val="auto"/>
              </w:rPr>
            </w:pPr>
          </w:p>
        </w:tc>
      </w:tr>
      <w:tr>
        <w:trPr>
          <w:trHeight w:val="168"/>
        </w:trPr>
        <w:tc>
          <w:tcPr>
            <w:tcW w:w="2500" w:type="dxa"/>
            <w:vAlign w:val="bottom"/>
          </w:tcPr>
          <w:p>
            <w:pPr>
              <w:jc w:val="center"/>
              <w:ind w:right="439"/>
              <w:spacing w:after="0" w:line="168" w:lineRule="exact"/>
              <w:rPr>
                <w:sz w:val="20"/>
                <w:szCs w:val="20"/>
                <w:color w:val="auto"/>
              </w:rPr>
            </w:pPr>
            <w:r>
              <w:rPr>
                <w:rFonts w:ascii="Arial" w:cs="Arial" w:eastAsia="Arial" w:hAnsi="Arial"/>
                <w:sz w:val="16"/>
                <w:szCs w:val="16"/>
                <w:b w:val="1"/>
                <w:bCs w:val="1"/>
                <w:color w:val="auto"/>
                <w:w w:val="92"/>
              </w:rPr>
              <w:t>Michael P. Kaplan, Esq.</w:t>
            </w:r>
          </w:p>
        </w:tc>
        <w:tc>
          <w:tcPr>
            <w:tcW w:w="2400" w:type="dxa"/>
            <w:vAlign w:val="bottom"/>
          </w:tcPr>
          <w:p>
            <w:pPr>
              <w:jc w:val="center"/>
              <w:ind w:left="259"/>
              <w:spacing w:after="0" w:line="168" w:lineRule="exact"/>
              <w:rPr>
                <w:sz w:val="20"/>
                <w:szCs w:val="20"/>
                <w:color w:val="auto"/>
              </w:rPr>
            </w:pPr>
            <w:r>
              <w:rPr>
                <w:rFonts w:ascii="Arial" w:cs="Arial" w:eastAsia="Arial" w:hAnsi="Arial"/>
                <w:sz w:val="16"/>
                <w:szCs w:val="16"/>
                <w:b w:val="1"/>
                <w:bCs w:val="1"/>
                <w:color w:val="auto"/>
                <w:w w:val="93"/>
              </w:rPr>
              <w:t>Yair Geva, Adv.</w:t>
            </w:r>
          </w:p>
        </w:tc>
        <w:tc>
          <w:tcPr>
            <w:tcW w:w="3340" w:type="dxa"/>
            <w:vAlign w:val="bottom"/>
          </w:tcPr>
          <w:p>
            <w:pPr>
              <w:jc w:val="center"/>
              <w:ind w:left="259"/>
              <w:spacing w:after="0" w:line="168" w:lineRule="exact"/>
              <w:rPr>
                <w:sz w:val="20"/>
                <w:szCs w:val="20"/>
                <w:color w:val="auto"/>
              </w:rPr>
            </w:pPr>
            <w:r>
              <w:rPr>
                <w:rFonts w:ascii="Arial" w:cs="Arial" w:eastAsia="Arial" w:hAnsi="Arial"/>
                <w:sz w:val="16"/>
                <w:szCs w:val="16"/>
                <w:b w:val="1"/>
                <w:bCs w:val="1"/>
                <w:color w:val="auto"/>
                <w:w w:val="94"/>
              </w:rPr>
              <w:t>Ivan K. Blumenthal, Esq.</w:t>
            </w:r>
          </w:p>
        </w:tc>
        <w:tc>
          <w:tcPr>
            <w:tcW w:w="2220" w:type="dxa"/>
            <w:vAlign w:val="bottom"/>
          </w:tcPr>
          <w:p>
            <w:pPr>
              <w:jc w:val="center"/>
              <w:ind w:left="519"/>
              <w:spacing w:after="0" w:line="168" w:lineRule="exact"/>
              <w:rPr>
                <w:sz w:val="20"/>
                <w:szCs w:val="20"/>
                <w:color w:val="auto"/>
              </w:rPr>
            </w:pPr>
            <w:r>
              <w:rPr>
                <w:rFonts w:ascii="Arial" w:cs="Arial" w:eastAsia="Arial" w:hAnsi="Arial"/>
                <w:sz w:val="16"/>
                <w:szCs w:val="16"/>
                <w:b w:val="1"/>
                <w:bCs w:val="1"/>
                <w:color w:val="auto"/>
                <w:w w:val="93"/>
              </w:rPr>
              <w:t>Chaim Friedland, Adv.</w:t>
            </w:r>
          </w:p>
        </w:tc>
      </w:tr>
      <w:tr>
        <w:trPr>
          <w:trHeight w:val="162"/>
        </w:trPr>
        <w:tc>
          <w:tcPr>
            <w:tcW w:w="2500" w:type="dxa"/>
            <w:vAlign w:val="bottom"/>
          </w:tcPr>
          <w:p>
            <w:pPr>
              <w:jc w:val="center"/>
              <w:ind w:right="419"/>
              <w:spacing w:after="0" w:line="162" w:lineRule="exact"/>
              <w:rPr>
                <w:sz w:val="20"/>
                <w:szCs w:val="20"/>
                <w:color w:val="auto"/>
              </w:rPr>
            </w:pPr>
            <w:r>
              <w:rPr>
                <w:rFonts w:ascii="Arial" w:cs="Arial" w:eastAsia="Arial" w:hAnsi="Arial"/>
                <w:sz w:val="16"/>
                <w:szCs w:val="16"/>
                <w:b w:val="1"/>
                <w:bCs w:val="1"/>
                <w:color w:val="auto"/>
                <w:w w:val="89"/>
              </w:rPr>
              <w:t>Sophia Hudson, Esq.</w:t>
            </w:r>
          </w:p>
        </w:tc>
        <w:tc>
          <w:tcPr>
            <w:tcW w:w="2400" w:type="dxa"/>
            <w:vAlign w:val="bottom"/>
          </w:tcPr>
          <w:p>
            <w:pPr>
              <w:jc w:val="center"/>
              <w:ind w:left="299"/>
              <w:spacing w:after="0" w:line="162" w:lineRule="exact"/>
              <w:rPr>
                <w:sz w:val="20"/>
                <w:szCs w:val="20"/>
                <w:color w:val="auto"/>
              </w:rPr>
            </w:pPr>
            <w:r>
              <w:rPr>
                <w:rFonts w:ascii="Arial" w:cs="Arial" w:eastAsia="Arial" w:hAnsi="Arial"/>
                <w:sz w:val="16"/>
                <w:szCs w:val="16"/>
                <w:b w:val="1"/>
                <w:bCs w:val="1"/>
                <w:color w:val="auto"/>
                <w:w w:val="92"/>
              </w:rPr>
              <w:t>Ron Ben-Menachem, Adv.</w:t>
            </w:r>
          </w:p>
        </w:tc>
        <w:tc>
          <w:tcPr>
            <w:tcW w:w="334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w w:val="94"/>
              </w:rPr>
              <w:t>Mintz, Levin, Cohn, Ferris,</w:t>
            </w:r>
          </w:p>
        </w:tc>
        <w:tc>
          <w:tcPr>
            <w:tcW w:w="2220" w:type="dxa"/>
            <w:vAlign w:val="bottom"/>
          </w:tcPr>
          <w:p>
            <w:pPr>
              <w:jc w:val="center"/>
              <w:ind w:left="519"/>
              <w:spacing w:after="0" w:line="162" w:lineRule="exact"/>
              <w:rPr>
                <w:sz w:val="20"/>
                <w:szCs w:val="20"/>
                <w:color w:val="auto"/>
              </w:rPr>
            </w:pPr>
            <w:r>
              <w:rPr>
                <w:rFonts w:ascii="Arial" w:cs="Arial" w:eastAsia="Arial" w:hAnsi="Arial"/>
                <w:sz w:val="16"/>
                <w:szCs w:val="16"/>
                <w:b w:val="1"/>
                <w:bCs w:val="1"/>
                <w:color w:val="auto"/>
                <w:w w:val="96"/>
              </w:rPr>
              <w:t>Ari Fried, Adv.</w:t>
            </w:r>
          </w:p>
        </w:tc>
      </w:tr>
      <w:tr>
        <w:trPr>
          <w:trHeight w:val="162"/>
        </w:trPr>
        <w:tc>
          <w:tcPr>
            <w:tcW w:w="2500" w:type="dxa"/>
            <w:vAlign w:val="bottom"/>
          </w:tcPr>
          <w:p>
            <w:pPr>
              <w:jc w:val="center"/>
              <w:ind w:right="41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c>
          <w:tcPr>
            <w:tcW w:w="2400" w:type="dxa"/>
            <w:vAlign w:val="bottom"/>
          </w:tcPr>
          <w:p>
            <w:pPr>
              <w:jc w:val="center"/>
              <w:ind w:left="319"/>
              <w:spacing w:after="0" w:line="162" w:lineRule="exact"/>
              <w:rPr>
                <w:sz w:val="20"/>
                <w:szCs w:val="20"/>
                <w:color w:val="auto"/>
              </w:rPr>
            </w:pPr>
            <w:r>
              <w:rPr>
                <w:rFonts w:ascii="Arial" w:cs="Arial" w:eastAsia="Arial" w:hAnsi="Arial"/>
                <w:sz w:val="16"/>
                <w:szCs w:val="16"/>
                <w:b w:val="1"/>
                <w:bCs w:val="1"/>
                <w:color w:val="auto"/>
                <w:w w:val="93"/>
              </w:rPr>
              <w:t>Tomer Farkash, Adv.</w:t>
            </w:r>
          </w:p>
        </w:tc>
        <w:tc>
          <w:tcPr>
            <w:tcW w:w="334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90"/>
              </w:rPr>
              <w:t>Glovsky, and Popeo PC</w:t>
            </w:r>
          </w:p>
        </w:tc>
        <w:tc>
          <w:tcPr>
            <w:tcW w:w="2220" w:type="dxa"/>
            <w:vAlign w:val="bottom"/>
          </w:tcPr>
          <w:p>
            <w:pPr>
              <w:jc w:val="center"/>
              <w:ind w:left="519"/>
              <w:spacing w:after="0" w:line="162" w:lineRule="exact"/>
              <w:rPr>
                <w:sz w:val="20"/>
                <w:szCs w:val="20"/>
                <w:color w:val="auto"/>
              </w:rPr>
            </w:pPr>
            <w:r>
              <w:rPr>
                <w:rFonts w:ascii="Arial" w:cs="Arial" w:eastAsia="Arial" w:hAnsi="Arial"/>
                <w:sz w:val="16"/>
                <w:szCs w:val="16"/>
                <w:b w:val="1"/>
                <w:bCs w:val="1"/>
                <w:color w:val="auto"/>
                <w:w w:val="98"/>
              </w:rPr>
              <w:t>Gornitzky &amp; Co.</w:t>
            </w:r>
          </w:p>
        </w:tc>
      </w:tr>
      <w:tr>
        <w:trPr>
          <w:trHeight w:val="162"/>
        </w:trPr>
        <w:tc>
          <w:tcPr>
            <w:tcW w:w="2500" w:type="dxa"/>
            <w:vAlign w:val="bottom"/>
          </w:tcPr>
          <w:p>
            <w:pPr>
              <w:jc w:val="center"/>
              <w:ind w:right="419"/>
              <w:spacing w:after="0" w:line="162" w:lineRule="exact"/>
              <w:rPr>
                <w:sz w:val="20"/>
                <w:szCs w:val="20"/>
                <w:color w:val="auto"/>
              </w:rPr>
            </w:pPr>
            <w:r>
              <w:rPr>
                <w:rFonts w:ascii="Arial" w:cs="Arial" w:eastAsia="Arial" w:hAnsi="Arial"/>
                <w:sz w:val="16"/>
                <w:szCs w:val="16"/>
                <w:b w:val="1"/>
                <w:bCs w:val="1"/>
                <w:color w:val="auto"/>
                <w:w w:val="89"/>
              </w:rPr>
              <w:t>450 Lexington Avenue</w:t>
            </w:r>
          </w:p>
        </w:tc>
        <w:tc>
          <w:tcPr>
            <w:tcW w:w="24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3"/>
              </w:rPr>
              <w:t>Herzog Fox &amp; Neeman</w:t>
            </w:r>
          </w:p>
        </w:tc>
        <w:tc>
          <w:tcPr>
            <w:tcW w:w="334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2"/>
              </w:rPr>
              <w:t>666 Third Avenue</w:t>
            </w:r>
          </w:p>
        </w:tc>
        <w:tc>
          <w:tcPr>
            <w:tcW w:w="2220" w:type="dxa"/>
            <w:vAlign w:val="bottom"/>
          </w:tcPr>
          <w:p>
            <w:pPr>
              <w:jc w:val="center"/>
              <w:ind w:left="519"/>
              <w:spacing w:after="0" w:line="162" w:lineRule="exact"/>
              <w:rPr>
                <w:sz w:val="20"/>
                <w:szCs w:val="20"/>
                <w:color w:val="auto"/>
              </w:rPr>
            </w:pPr>
            <w:r>
              <w:rPr>
                <w:rFonts w:ascii="Arial" w:cs="Arial" w:eastAsia="Arial" w:hAnsi="Arial"/>
                <w:sz w:val="16"/>
                <w:szCs w:val="16"/>
                <w:b w:val="1"/>
                <w:bCs w:val="1"/>
                <w:color w:val="auto"/>
                <w:w w:val="89"/>
              </w:rPr>
              <w:t>Zion House</w:t>
            </w:r>
          </w:p>
        </w:tc>
      </w:tr>
      <w:tr>
        <w:trPr>
          <w:trHeight w:val="162"/>
        </w:trPr>
        <w:tc>
          <w:tcPr>
            <w:tcW w:w="2500" w:type="dxa"/>
            <w:vAlign w:val="bottom"/>
          </w:tcPr>
          <w:p>
            <w:pPr>
              <w:jc w:val="center"/>
              <w:ind w:right="419"/>
              <w:spacing w:after="0" w:line="162" w:lineRule="exact"/>
              <w:rPr>
                <w:sz w:val="20"/>
                <w:szCs w:val="20"/>
                <w:color w:val="auto"/>
              </w:rPr>
            </w:pPr>
            <w:r>
              <w:rPr>
                <w:rFonts w:ascii="Arial" w:cs="Arial" w:eastAsia="Arial" w:hAnsi="Arial"/>
                <w:sz w:val="16"/>
                <w:szCs w:val="16"/>
                <w:b w:val="1"/>
                <w:bCs w:val="1"/>
                <w:color w:val="auto"/>
                <w:w w:val="94"/>
              </w:rPr>
              <w:t>New York, New York 10017</w:t>
            </w:r>
          </w:p>
        </w:tc>
        <w:tc>
          <w:tcPr>
            <w:tcW w:w="240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w w:val="92"/>
              </w:rPr>
              <w:t>4 Weizmann Street</w:t>
            </w:r>
          </w:p>
        </w:tc>
        <w:tc>
          <w:tcPr>
            <w:tcW w:w="334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4"/>
              </w:rPr>
              <w:t>New York, New York 10017</w:t>
            </w:r>
          </w:p>
        </w:tc>
        <w:tc>
          <w:tcPr>
            <w:tcW w:w="2220" w:type="dxa"/>
            <w:vAlign w:val="bottom"/>
          </w:tcPr>
          <w:p>
            <w:pPr>
              <w:jc w:val="center"/>
              <w:ind w:left="519"/>
              <w:spacing w:after="0" w:line="162" w:lineRule="exact"/>
              <w:rPr>
                <w:sz w:val="20"/>
                <w:szCs w:val="20"/>
                <w:color w:val="auto"/>
              </w:rPr>
            </w:pPr>
            <w:r>
              <w:rPr>
                <w:rFonts w:ascii="Arial" w:cs="Arial" w:eastAsia="Arial" w:hAnsi="Arial"/>
                <w:sz w:val="16"/>
                <w:szCs w:val="16"/>
                <w:b w:val="1"/>
                <w:bCs w:val="1"/>
                <w:color w:val="auto"/>
                <w:w w:val="90"/>
              </w:rPr>
              <w:t>45 Rothschild Blvd.</w:t>
            </w:r>
          </w:p>
        </w:tc>
      </w:tr>
      <w:tr>
        <w:trPr>
          <w:trHeight w:val="162"/>
        </w:trPr>
        <w:tc>
          <w:tcPr>
            <w:tcW w:w="2500" w:type="dxa"/>
            <w:vAlign w:val="bottom"/>
          </w:tcPr>
          <w:p>
            <w:pPr>
              <w:jc w:val="center"/>
              <w:ind w:right="419"/>
              <w:spacing w:after="0" w:line="162" w:lineRule="exact"/>
              <w:rPr>
                <w:sz w:val="20"/>
                <w:szCs w:val="20"/>
                <w:color w:val="auto"/>
              </w:rPr>
            </w:pPr>
            <w:r>
              <w:rPr>
                <w:rFonts w:ascii="Arial" w:cs="Arial" w:eastAsia="Arial" w:hAnsi="Arial"/>
                <w:sz w:val="16"/>
                <w:szCs w:val="16"/>
                <w:b w:val="1"/>
                <w:bCs w:val="1"/>
                <w:color w:val="auto"/>
                <w:w w:val="91"/>
              </w:rPr>
              <w:t>(212) 450-4000</w:t>
            </w:r>
          </w:p>
        </w:tc>
        <w:tc>
          <w:tcPr>
            <w:tcW w:w="2400" w:type="dxa"/>
            <w:vAlign w:val="bottom"/>
          </w:tcPr>
          <w:p>
            <w:pPr>
              <w:jc w:val="center"/>
              <w:ind w:left="319"/>
              <w:spacing w:after="0" w:line="162" w:lineRule="exact"/>
              <w:rPr>
                <w:sz w:val="20"/>
                <w:szCs w:val="20"/>
                <w:color w:val="auto"/>
              </w:rPr>
            </w:pPr>
            <w:r>
              <w:rPr>
                <w:rFonts w:ascii="Arial" w:cs="Arial" w:eastAsia="Arial" w:hAnsi="Arial"/>
                <w:sz w:val="16"/>
                <w:szCs w:val="16"/>
                <w:b w:val="1"/>
                <w:bCs w:val="1"/>
                <w:color w:val="auto"/>
                <w:w w:val="91"/>
              </w:rPr>
              <w:t>Tel Aviv 6423904, Israel</w:t>
            </w:r>
          </w:p>
        </w:tc>
        <w:tc>
          <w:tcPr>
            <w:tcW w:w="334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1"/>
              </w:rPr>
              <w:t>(212) 935-3000</w:t>
            </w:r>
          </w:p>
        </w:tc>
        <w:tc>
          <w:tcPr>
            <w:tcW w:w="2220" w:type="dxa"/>
            <w:vAlign w:val="bottom"/>
          </w:tcPr>
          <w:p>
            <w:pPr>
              <w:jc w:val="center"/>
              <w:ind w:left="479"/>
              <w:spacing w:after="0" w:line="162" w:lineRule="exact"/>
              <w:rPr>
                <w:sz w:val="20"/>
                <w:szCs w:val="20"/>
                <w:color w:val="auto"/>
              </w:rPr>
            </w:pPr>
            <w:r>
              <w:rPr>
                <w:rFonts w:ascii="Arial" w:cs="Arial" w:eastAsia="Arial" w:hAnsi="Arial"/>
                <w:sz w:val="16"/>
                <w:szCs w:val="16"/>
                <w:b w:val="1"/>
                <w:bCs w:val="1"/>
                <w:color w:val="auto"/>
                <w:w w:val="92"/>
              </w:rPr>
              <w:t>Tel Aviv 6578403, Israel</w:t>
            </w:r>
          </w:p>
        </w:tc>
      </w:tr>
      <w:tr>
        <w:trPr>
          <w:trHeight w:val="210"/>
        </w:trPr>
        <w:tc>
          <w:tcPr>
            <w:tcW w:w="2500" w:type="dxa"/>
            <w:vAlign w:val="bottom"/>
          </w:tcPr>
          <w:p>
            <w:pPr>
              <w:spacing w:after="0"/>
              <w:rPr>
                <w:sz w:val="18"/>
                <w:szCs w:val="18"/>
                <w:color w:val="auto"/>
              </w:rPr>
            </w:pPr>
          </w:p>
        </w:tc>
        <w:tc>
          <w:tcPr>
            <w:tcW w:w="240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+972 (3) 692-2020</w:t>
            </w:r>
          </w:p>
        </w:tc>
        <w:tc>
          <w:tcPr>
            <w:tcW w:w="3340" w:type="dxa"/>
            <w:vAlign w:val="bottom"/>
          </w:tcPr>
          <w:p>
            <w:pPr>
              <w:spacing w:after="0"/>
              <w:rPr>
                <w:sz w:val="18"/>
                <w:szCs w:val="18"/>
                <w:color w:val="auto"/>
              </w:rPr>
            </w:pPr>
          </w:p>
        </w:tc>
        <w:tc>
          <w:tcPr>
            <w:tcW w:w="2220" w:type="dxa"/>
            <w:vAlign w:val="bottom"/>
          </w:tcPr>
          <w:p>
            <w:pPr>
              <w:jc w:val="center"/>
              <w:ind w:left="519"/>
              <w:spacing w:after="0"/>
              <w:rPr>
                <w:sz w:val="20"/>
                <w:szCs w:val="20"/>
                <w:color w:val="auto"/>
              </w:rPr>
            </w:pPr>
            <w:r>
              <w:rPr>
                <w:rFonts w:ascii="Arial" w:cs="Arial" w:eastAsia="Arial" w:hAnsi="Arial"/>
                <w:sz w:val="16"/>
                <w:szCs w:val="16"/>
                <w:b w:val="1"/>
                <w:bCs w:val="1"/>
                <w:color w:val="auto"/>
                <w:w w:val="92"/>
              </w:rPr>
              <w:t>+972 (3) 710-9191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46355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effectiveness of this registration statement.</w:t>
      </w:r>
    </w:p>
    <w:p>
      <w:pPr>
        <w:spacing w:after="0" w:line="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right="4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4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2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68"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360" w:right="380" w:hanging="352"/>
        <w:spacing w:after="0" w:line="239"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4580" w:type="dxa"/>
            <w:vAlign w:val="bottom"/>
            <w:vMerge w:val="restart"/>
          </w:tcPr>
          <w:p>
            <w:pPr>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2280" w:type="dxa"/>
            <w:vAlign w:val="bottom"/>
            <w:tcBorders>
              <w:top w:val="single" w:sz="8" w:color="auto"/>
            </w:tcBorders>
            <w:vMerge w:val="restart"/>
          </w:tcPr>
          <w:p>
            <w:pPr>
              <w:spacing w:after="0"/>
              <w:rPr>
                <w:sz w:val="11"/>
                <w:szCs w:val="11"/>
                <w:color w:val="auto"/>
              </w:rPr>
            </w:pPr>
          </w:p>
        </w:tc>
        <w:tc>
          <w:tcPr>
            <w:tcW w:w="1040" w:type="dxa"/>
            <w:vAlign w:val="bottom"/>
            <w:gridSpan w:val="2"/>
            <w:vMerge w:val="restart"/>
          </w:tcPr>
          <w:p>
            <w:pPr>
              <w:spacing w:after="0"/>
              <w:rPr>
                <w:sz w:val="11"/>
                <w:szCs w:val="11"/>
                <w:color w:val="auto"/>
              </w:rPr>
            </w:pPr>
          </w:p>
        </w:tc>
        <w:tc>
          <w:tcPr>
            <w:tcW w:w="21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Proposed Maximum</w:t>
            </w:r>
          </w:p>
        </w:tc>
        <w:tc>
          <w:tcPr>
            <w:tcW w:w="1380" w:type="dxa"/>
            <w:vAlign w:val="bottom"/>
          </w:tcPr>
          <w:p>
            <w:pPr>
              <w:jc w:val="right"/>
              <w:ind w:right="351"/>
              <w:spacing w:after="0" w:line="135" w:lineRule="exact"/>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62"/>
        </w:trPr>
        <w:tc>
          <w:tcPr>
            <w:tcW w:w="458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Aggregate Offering Price</w:t>
            </w:r>
          </w:p>
        </w:tc>
        <w:tc>
          <w:tcPr>
            <w:tcW w:w="1380" w:type="dxa"/>
            <w:vAlign w:val="bottom"/>
          </w:tcPr>
          <w:p>
            <w:pPr>
              <w:jc w:val="right"/>
              <w:ind w:right="111"/>
              <w:spacing w:after="0" w:line="162" w:lineRule="exact"/>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56"/>
        </w:trPr>
        <w:tc>
          <w:tcPr>
            <w:tcW w:w="770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rPr>
              <w:t>Units consisting of:</w:t>
            </w: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gridSpan w:val="4"/>
          </w:tcPr>
          <w:p>
            <w:pPr>
              <w:ind w:left="340"/>
              <w:spacing w:after="0"/>
              <w:rPr>
                <w:sz w:val="20"/>
                <w:szCs w:val="20"/>
                <w:color w:val="auto"/>
              </w:rPr>
            </w:pPr>
            <w:r>
              <w:rPr>
                <w:rFonts w:ascii="Arial" w:cs="Arial" w:eastAsia="Arial" w:hAnsi="Arial"/>
                <w:sz w:val="14"/>
                <w:szCs w:val="14"/>
                <w:color w:val="auto"/>
              </w:rPr>
              <w:t>Ordinary shares, par value NIS 0.0000769 per share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w w:val="89"/>
              </w:rPr>
              <w:t>15,318,006.66</w:t>
            </w:r>
          </w:p>
        </w:tc>
        <w:tc>
          <w:tcPr>
            <w:tcW w:w="220" w:type="dxa"/>
            <w:vAlign w:val="bottom"/>
          </w:tcPr>
          <w:p>
            <w:pPr>
              <w:spacing w:after="0"/>
              <w:rPr>
                <w:sz w:val="14"/>
                <w:szCs w:val="14"/>
                <w:color w:val="auto"/>
              </w:rPr>
            </w:pPr>
          </w:p>
        </w:tc>
        <w:tc>
          <w:tcPr>
            <w:tcW w:w="1380" w:type="dxa"/>
            <w:vAlign w:val="bottom"/>
          </w:tcPr>
          <w:p>
            <w:pPr>
              <w:jc w:val="right"/>
              <w:ind w:right="331"/>
              <w:spacing w:after="0"/>
              <w:rPr>
                <w:sz w:val="20"/>
                <w:szCs w:val="20"/>
                <w:color w:val="auto"/>
              </w:rPr>
            </w:pPr>
            <w:r>
              <w:rPr>
                <w:rFonts w:ascii="Arial" w:cs="Arial" w:eastAsia="Arial" w:hAnsi="Arial"/>
                <w:sz w:val="14"/>
                <w:szCs w:val="14"/>
                <w:color w:val="auto"/>
              </w:rPr>
              <w:t>$1,907.09</w:t>
            </w:r>
          </w:p>
        </w:tc>
        <w:tc>
          <w:tcPr>
            <w:tcW w:w="0" w:type="dxa"/>
            <w:vAlign w:val="bottom"/>
          </w:tcPr>
          <w:p>
            <w:pPr>
              <w:spacing w:after="0"/>
              <w:rPr>
                <w:sz w:val="1"/>
                <w:szCs w:val="1"/>
                <w:color w:val="auto"/>
              </w:rPr>
            </w:pPr>
          </w:p>
        </w:tc>
      </w:tr>
      <w:tr>
        <w:trPr>
          <w:trHeight w:val="176"/>
        </w:trPr>
        <w:tc>
          <w:tcPr>
            <w:tcW w:w="790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4"/>
                <w:szCs w:val="14"/>
                <w:color w:val="auto"/>
              </w:rPr>
              <w:t>Warrants to purchase ordinary shares, par value NIS 0.0000769 per share</w:t>
            </w:r>
            <w:r>
              <w:rPr>
                <w:rFonts w:ascii="Arial" w:cs="Arial" w:eastAsia="Arial" w:hAnsi="Arial"/>
                <w:sz w:val="20"/>
                <w:szCs w:val="20"/>
                <w:color w:val="auto"/>
                <w:vertAlign w:val="superscript"/>
              </w:rPr>
              <w:t>(3)</w:t>
            </w:r>
          </w:p>
        </w:tc>
        <w:tc>
          <w:tcPr>
            <w:tcW w:w="6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gridSpan w:val="4"/>
          </w:tcPr>
          <w:p>
            <w:pPr>
              <w:ind w:left="340"/>
              <w:spacing w:after="0"/>
              <w:rPr>
                <w:sz w:val="20"/>
                <w:szCs w:val="20"/>
                <w:color w:val="auto"/>
              </w:rPr>
            </w:pPr>
            <w:r>
              <w:rPr>
                <w:rFonts w:ascii="Arial" w:cs="Arial" w:eastAsia="Arial" w:hAnsi="Arial"/>
                <w:sz w:val="14"/>
                <w:szCs w:val="14"/>
                <w:color w:val="auto"/>
              </w:rPr>
              <w:t>Ordinary shares, par value NIS 0.0000769 per share, issuable upon exercise of the warrants to purchase ordinary shares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28"/>
              <w:spacing w:after="0"/>
              <w:rPr>
                <w:sz w:val="20"/>
                <w:szCs w:val="20"/>
                <w:color w:val="auto"/>
              </w:rPr>
            </w:pPr>
            <w:r>
              <w:rPr>
                <w:rFonts w:ascii="Arial" w:cs="Arial" w:eastAsia="Arial" w:hAnsi="Arial"/>
                <w:sz w:val="14"/>
                <w:szCs w:val="14"/>
                <w:color w:val="auto"/>
                <w:w w:val="97"/>
              </w:rPr>
              <w:t>9,583,337.50</w:t>
            </w:r>
          </w:p>
        </w:tc>
        <w:tc>
          <w:tcPr>
            <w:tcW w:w="220" w:type="dxa"/>
            <w:vAlign w:val="bottom"/>
          </w:tcPr>
          <w:p>
            <w:pPr>
              <w:spacing w:after="0"/>
              <w:rPr>
                <w:sz w:val="14"/>
                <w:szCs w:val="14"/>
                <w:color w:val="auto"/>
              </w:rPr>
            </w:pPr>
          </w:p>
        </w:tc>
        <w:tc>
          <w:tcPr>
            <w:tcW w:w="1380" w:type="dxa"/>
            <w:vAlign w:val="bottom"/>
          </w:tcPr>
          <w:p>
            <w:pPr>
              <w:jc w:val="right"/>
              <w:ind w:right="331"/>
              <w:spacing w:after="0"/>
              <w:rPr>
                <w:sz w:val="20"/>
                <w:szCs w:val="20"/>
                <w:color w:val="auto"/>
              </w:rPr>
            </w:pPr>
            <w:r>
              <w:rPr>
                <w:rFonts w:ascii="Arial" w:cs="Arial" w:eastAsia="Arial" w:hAnsi="Arial"/>
                <w:sz w:val="14"/>
                <w:szCs w:val="14"/>
                <w:color w:val="auto"/>
              </w:rPr>
              <w:t>$1,193.13</w:t>
            </w:r>
          </w:p>
        </w:tc>
        <w:tc>
          <w:tcPr>
            <w:tcW w:w="0" w:type="dxa"/>
            <w:vAlign w:val="bottom"/>
          </w:tcPr>
          <w:p>
            <w:pPr>
              <w:spacing w:after="0"/>
              <w:rPr>
                <w:sz w:val="1"/>
                <w:szCs w:val="1"/>
                <w:color w:val="auto"/>
              </w:rPr>
            </w:pPr>
          </w:p>
        </w:tc>
      </w:tr>
      <w:tr>
        <w:trPr>
          <w:trHeight w:val="162"/>
        </w:trPr>
        <w:tc>
          <w:tcPr>
            <w:tcW w:w="79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w:t>
            </w:r>
          </w:p>
        </w:tc>
        <w:tc>
          <w:tcPr>
            <w:tcW w:w="6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$3,100.22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6239510</wp:posOffset>
            </wp:positionH>
            <wp:positionV relativeFrom="paragraph">
              <wp:posOffset>-530860</wp:posOffset>
            </wp:positionV>
            <wp:extent cx="137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-530860</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4"/>
          <w:szCs w:val="24"/>
          <w:color w:val="auto"/>
        </w:rPr>
      </w:pPr>
    </w:p>
    <w:p>
      <w:pPr>
        <w:ind w:left="360" w:right="400" w:hanging="352"/>
        <w:spacing w:after="0" w:line="224" w:lineRule="auto"/>
        <w:tabs>
          <w:tab w:leader="none" w:pos="36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Includes the aggregate offering price of additional securities that the underwriters have the option to purchase, if any.</w:t>
      </w:r>
    </w:p>
    <w:p>
      <w:pPr>
        <w:spacing w:after="0" w:line="1" w:lineRule="exact"/>
        <w:rPr>
          <w:rFonts w:ascii="Arial" w:cs="Arial" w:eastAsia="Arial" w:hAnsi="Arial"/>
          <w:sz w:val="13"/>
          <w:szCs w:val="13"/>
          <w:color w:val="auto"/>
        </w:rPr>
      </w:pPr>
    </w:p>
    <w:p>
      <w:pPr>
        <w:ind w:left="360" w:hanging="352"/>
        <w:spacing w:after="0" w:line="216" w:lineRule="auto"/>
        <w:tabs>
          <w:tab w:leader="none" w:pos="3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has previously paid $10,062 in connection with this Registration Statement.</w:t>
      </w:r>
    </w:p>
    <w:p>
      <w:pPr>
        <w:ind w:left="360" w:right="380" w:hanging="352"/>
        <w:spacing w:after="0" w:line="229" w:lineRule="auto"/>
        <w:tabs>
          <w:tab w:leader="none" w:pos="360" w:val="left"/>
        </w:tabs>
        <w:numPr>
          <w:ilvl w:val="0"/>
          <w:numId w:val="2"/>
        </w:numPr>
        <w:rPr>
          <w:rFonts w:ascii="Arial" w:cs="Arial" w:eastAsia="Arial" w:hAnsi="Arial"/>
          <w:sz w:val="13"/>
          <w:szCs w:val="13"/>
          <w:color w:val="auto"/>
        </w:rPr>
      </w:pPr>
      <w:r>
        <w:rPr>
          <w:rFonts w:ascii="Arial" w:cs="Arial" w:eastAsia="Arial" w:hAnsi="Arial"/>
          <w:sz w:val="13"/>
          <w:szCs w:val="13"/>
          <w:color w:val="auto"/>
        </w:rPr>
        <w:t>Pursuant to Rule 416(a) under the Securities Act of 1933, as amended, this registration statement shall also cover an indeterminate number of shares that may be issued and resold resulting from stock splits, stock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61595</wp:posOffset>
            </wp:positionV>
            <wp:extent cx="1449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both"/>
        <w:ind w:right="10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FC0014"/>
        </w:rPr>
        <w:t>PROSPECTUS (Subject to Completion)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FC0014"/>
        </w:rPr>
        <w:t>Dated June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-80645</wp:posOffset>
            </wp:positionV>
            <wp:extent cx="1294765"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476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1,333,334 ORDINARY SHARES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 TO PURCHASE 666,667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71120</wp:posOffset>
            </wp:positionV>
            <wp:extent cx="15519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7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Entera Bio Ltd. is offering 1,333,334 ordinary shares and warrants (the “warrants”) to purchase up to 666,667 ordinary shares (and the ordinary shares that are issuable from time to time upon exercise of the warrants). The ordinary shares and warrants will be sold in units (each a “unit”), with each unit consisting of one ordinary share and one warrant to purchase 0.5 of an ordinary share. This is our initial public offering and no public market exists for our ordinary shares or warrants. We anticipate that the initial public offering price will be between $8.00 and $10.00 per unit. The ordinary shares and warrants are immediately separable and will be issued separately and are expected to trade separately following the effectiveness of the registration statement for this offering.</w:t>
      </w:r>
    </w:p>
    <w:p>
      <w:pPr>
        <w:spacing w:after="0" w:line="84"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The warrants will become exercisable on the date of issuance, and will remain exercisable until , 2023, unless earlier repurchased by us or subject to early expiration as described herein. The exercise price for the warrants initially will be $11.25 per ordinary share (which is 125% of the assumed initial public offering price per unit), and will be subject to adjustments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45085</wp:posOffset>
            </wp:positionV>
            <wp:extent cx="15519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5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have applied to list our ordinary shares on the NASDAQ Capital Market under the symbol “ENTX”. We have applied to list our warrants on the NASDAQ Capital Market under the symbol “ENTXW”.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38735</wp:posOffset>
            </wp:positionV>
            <wp:extent cx="15519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3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and will therefore be subject to reduced reporting requirements.</w:t>
      </w:r>
    </w:p>
    <w:p>
      <w:pPr>
        <w:spacing w:after="0" w:line="54"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ordinary shares and warrants involves risks. See “Risk Factors” beginning on page </w:t>
      </w:r>
      <w:hyperlink w:anchor="page17">
        <w:r>
          <w:rPr>
            <w:rFonts w:ascii="Arial" w:cs="Arial" w:eastAsia="Arial" w:hAnsi="Arial"/>
            <w:sz w:val="18"/>
            <w:szCs w:val="18"/>
            <w:b w:val="1"/>
            <w:bCs w:val="1"/>
            <w:u w:val="single" w:color="auto"/>
            <w:color w:val="0000EE"/>
          </w:rPr>
          <w:t>14</w:t>
        </w:r>
      </w:hyperlink>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68580</wp:posOffset>
            </wp:positionV>
            <wp:extent cx="1551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Arial" w:cs="Arial" w:eastAsia="Arial" w:hAnsi="Arial"/>
                <w:sz w:val="18"/>
                <w:szCs w:val="18"/>
                <w:b w:val="1"/>
                <w:bCs w:val="1"/>
                <w:color w:val="auto"/>
              </w:rPr>
              <w:t>PRICE $</w:t>
            </w:r>
          </w:p>
        </w:tc>
        <w:tc>
          <w:tcPr>
            <w:tcW w:w="3240" w:type="dxa"/>
            <w:vAlign w:val="bottom"/>
            <w:gridSpan w:val="4"/>
          </w:tcPr>
          <w:p>
            <w:pPr>
              <w:ind w:left="200"/>
              <w:spacing w:after="0"/>
              <w:rPr>
                <w:sz w:val="20"/>
                <w:szCs w:val="20"/>
                <w:color w:val="auto"/>
              </w:rPr>
            </w:pPr>
            <w:r>
              <w:rPr>
                <w:rFonts w:ascii="Arial" w:cs="Arial" w:eastAsia="Arial" w:hAnsi="Arial"/>
                <w:sz w:val="18"/>
                <w:szCs w:val="18"/>
                <w:b w:val="1"/>
                <w:bCs w:val="1"/>
                <w:color w:val="auto"/>
              </w:rPr>
              <w:t>PER UNIT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Underwriting</w:t>
            </w:r>
          </w:p>
        </w:tc>
        <w:tc>
          <w:tcPr>
            <w:tcW w:w="10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Proceeds to</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Price to Public</w:t>
            </w: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Discounts and</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Commissions</w:t>
            </w:r>
          </w:p>
        </w:tc>
        <w:tc>
          <w:tcPr>
            <w:tcW w:w="1080" w:type="dxa"/>
            <w:vAlign w:val="bottom"/>
          </w:tcPr>
          <w:p>
            <w:pPr>
              <w:jc w:val="right"/>
              <w:ind w:right="104"/>
              <w:spacing w:after="0" w:line="176" w:lineRule="exact"/>
              <w:rPr>
                <w:sz w:val="20"/>
                <w:szCs w:val="20"/>
                <w:color w:val="auto"/>
              </w:rPr>
            </w:pPr>
            <w:r>
              <w:rPr>
                <w:rFonts w:ascii="Arial" w:cs="Arial" w:eastAsia="Arial" w:hAnsi="Arial"/>
                <w:sz w:val="14"/>
                <w:szCs w:val="14"/>
                <w:b w:val="1"/>
                <w:bCs w:val="1"/>
                <w:color w:val="auto"/>
              </w:rPr>
              <w:t>Company</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69"/>
        </w:trPr>
        <w:tc>
          <w:tcPr>
            <w:tcW w:w="56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Per unit</w:t>
            </w:r>
          </w:p>
        </w:tc>
        <w:tc>
          <w:tcPr>
            <w:tcW w:w="1700" w:type="dxa"/>
            <w:vAlign w:val="bottom"/>
            <w:tcBorders>
              <w:top w:val="single" w:sz="8" w:color="CCEEFF"/>
            </w:tcBorders>
            <w:gridSpan w:val="2"/>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703"/>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664"/>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584"/>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6"/>
                <w:szCs w:val="16"/>
                <w:color w:val="auto"/>
              </w:rPr>
              <w:t>Total</w:t>
            </w:r>
          </w:p>
        </w:tc>
        <w:tc>
          <w:tcPr>
            <w:tcW w:w="3020" w:type="dxa"/>
            <w:vAlign w:val="bottom"/>
            <w:gridSpan w:val="3"/>
          </w:tcPr>
          <w:p>
            <w:pPr>
              <w:jc w:val="right"/>
              <w:ind w:right="70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66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58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-252730</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5634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1551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354" w:lineRule="exact"/>
        <w:rPr>
          <w:sz w:val="20"/>
          <w:szCs w:val="20"/>
          <w:color w:val="auto"/>
        </w:rPr>
      </w:pPr>
    </w:p>
    <w:p>
      <w:pPr>
        <w:ind w:left="360" w:right="340" w:hanging="352"/>
        <w:spacing w:after="0" w:line="31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We have also agreed to issue to the representative 10,000 ordinary shares upon the closing of this offering, as well as underwriter warrants, certain terms of which are described under “Underwriting”, to purchase a number of ordinary shares equal to an aggregate of 5.0% of the ordinary shares sold as part of the units in this offering. See “Underwriting” for additional information regarding underwriting compensation.</w:t>
      </w:r>
    </w:p>
    <w:p>
      <w:pPr>
        <w:spacing w:after="0" w:line="4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Entera Bio Ltd. has granted the underwriters the right to purchase up to an additional 200,000 ordinary shares and/or 200,000 additional warrants to purchase up to a total of 100,000 ordinary shares to cover over-allotments, if any, at the initial public offering price per unit less the underwriting discounts and commissions payable by us, for 30 days after the date of this prospectus. The public offering price per unit corresponds to a public offering price per ordinary share of $8.99 and a public offering price per warrant of $0.01, which together constitute the midpoint of the estimated offering price range on the cover of this prospectus.</w:t>
      </w:r>
    </w:p>
    <w:p>
      <w:pPr>
        <w:spacing w:after="0" w:line="65"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6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Certain of our existing shareholders and parties affiliated with our existing shareholders have indicated an interest in purchasing an aggregate of up to approximately $5.0 million of the units in this offering at the initial public offering price per unit. However, indications of interest are not binding agreements or commitments to purchase, and these entities may determine to purchase a greater or lesser number of units than they have indicated an interest in purchasing or to not purchase any units in this offering. In addition, we and the underwriters could determine to sell a greater or lesser number of units to any of these entities than the entities have indicated an interest in purchasing or to not sell any units to these entities.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40" w:type="dxa"/>
            <w:vAlign w:val="bottom"/>
          </w:tcPr>
          <w:p>
            <w:pPr>
              <w:spacing w:after="0"/>
              <w:rPr>
                <w:sz w:val="20"/>
                <w:szCs w:val="20"/>
                <w:color w:val="auto"/>
              </w:rPr>
            </w:pPr>
            <w:r>
              <w:rPr>
                <w:rFonts w:ascii="Arial" w:cs="Arial" w:eastAsia="Arial" w:hAnsi="Arial"/>
                <w:sz w:val="16"/>
                <w:szCs w:val="16"/>
                <w:color w:val="auto"/>
                <w:w w:val="98"/>
              </w:rPr>
              <w:t>The underwriters expect to deliver the ordinary shares and warrants to purchasers on</w:t>
            </w:r>
          </w:p>
        </w:tc>
        <w:tc>
          <w:tcPr>
            <w:tcW w:w="880" w:type="dxa"/>
            <w:vAlign w:val="bottom"/>
          </w:tcPr>
          <w:p>
            <w:pPr>
              <w:jc w:val="right"/>
              <w:spacing w:after="0"/>
              <w:rPr>
                <w:sz w:val="20"/>
                <w:szCs w:val="20"/>
                <w:color w:val="auto"/>
              </w:rPr>
            </w:pPr>
            <w:r>
              <w:rPr>
                <w:rFonts w:ascii="Arial" w:cs="Arial" w:eastAsia="Arial" w:hAnsi="Arial"/>
                <w:sz w:val="16"/>
                <w:szCs w:val="16"/>
                <w:color w:val="auto"/>
              </w:rPr>
              <w:t>, 2018.</w:t>
            </w:r>
          </w:p>
        </w:tc>
      </w:tr>
    </w:tbl>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Sole Bookrunning Manager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Maxim Group LLC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Joseph Gunnar &amp; Co.</w:t>
      </w:r>
    </w:p>
    <w:p>
      <w:pPr>
        <w:sectPr>
          <w:pgSz w:w="11900" w:h="16838" w:orient="portrait"/>
          <w:cols w:equalWidth="0" w:num="1">
            <w:col w:w="11420"/>
          </w:cols>
          <w:pgMar w:left="240" w:top="131" w:right="239" w:bottom="1440" w:gutter="0" w:footer="0" w:header="0"/>
        </w:sectPr>
      </w:pPr>
    </w:p>
    <w:p>
      <w:pPr>
        <w:spacing w:after="0" w:line="112"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9"/>
        </w:trPr>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720" w:type="dxa"/>
            <w:vAlign w:val="bottom"/>
            <w:gridSpan w:val="11"/>
            <w:shd w:val="clear" w:color="auto" w:fill="CCEEFF"/>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Presentation of Financial Information</w:t>
              </w:r>
            </w:hyperlink>
          </w:p>
        </w:tc>
        <w:tc>
          <w:tcPr>
            <w:tcW w:w="2020" w:type="dxa"/>
            <w:vAlign w:val="bottom"/>
            <w:gridSpan w:val="4"/>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gridSpan w:val="2"/>
            <w:shd w:val="clear" w:color="auto" w:fill="CCEEFF"/>
          </w:tcPr>
          <w:p>
            <w:pPr>
              <w:jc w:val="right"/>
              <w:ind w:right="320"/>
              <w:spacing w:after="0"/>
              <w:rPr>
                <w:rFonts w:ascii="Arial" w:cs="Arial" w:eastAsia="Arial" w:hAnsi="Arial"/>
                <w:sz w:val="18"/>
                <w:szCs w:val="18"/>
                <w:color w:val="0000EE"/>
                <w:w w:val="74"/>
              </w:rPr>
            </w:pPr>
            <w:hyperlink w:anchor="page3">
              <w:r>
                <w:rPr>
                  <w:rFonts w:ascii="Arial" w:cs="Arial" w:eastAsia="Arial" w:hAnsi="Arial"/>
                  <w:sz w:val="18"/>
                  <w:szCs w:val="18"/>
                  <w:color w:val="0000EE"/>
                  <w:w w:val="74"/>
                </w:rPr>
                <w:t>ii</w:t>
              </w:r>
            </w:hyperlink>
          </w:p>
        </w:tc>
        <w:tc>
          <w:tcPr>
            <w:tcW w:w="300" w:type="dxa"/>
            <w:vAlign w:val="bottom"/>
          </w:tcPr>
          <w:p>
            <w:pPr>
              <w:spacing w:after="0"/>
              <w:rPr>
                <w:sz w:val="19"/>
                <w:szCs w:val="19"/>
                <w:color w:val="auto"/>
              </w:rPr>
            </w:pPr>
          </w:p>
        </w:tc>
        <w:tc>
          <w:tcPr>
            <w:tcW w:w="4700" w:type="dxa"/>
            <w:vAlign w:val="bottom"/>
            <w:gridSpan w:val="14"/>
            <w:shd w:val="clear" w:color="auto" w:fill="CCEEFF"/>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Management</w:t>
              </w:r>
            </w:hyperlink>
          </w:p>
        </w:tc>
        <w:tc>
          <w:tcPr>
            <w:tcW w:w="820" w:type="dxa"/>
            <w:vAlign w:val="bottom"/>
            <w:gridSpan w:val="3"/>
            <w:shd w:val="clear" w:color="auto" w:fill="CCEEFF"/>
          </w:tcPr>
          <w:p>
            <w:pPr>
              <w:jc w:val="cente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119</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Market and Industry Data</w:t>
              </w:r>
            </w:hyperlink>
          </w:p>
        </w:tc>
        <w:tc>
          <w:tcPr>
            <w:tcW w:w="202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320"/>
              <w:spacing w:after="0" w:line="196" w:lineRule="exact"/>
              <w:rPr>
                <w:rFonts w:ascii="Arial" w:cs="Arial" w:eastAsia="Arial" w:hAnsi="Arial"/>
                <w:sz w:val="18"/>
                <w:szCs w:val="18"/>
                <w:color w:val="0000EE"/>
                <w:w w:val="74"/>
              </w:rPr>
            </w:pPr>
            <w:hyperlink w:anchor="page3">
              <w:r>
                <w:rPr>
                  <w:rFonts w:ascii="Arial" w:cs="Arial" w:eastAsia="Arial" w:hAnsi="Arial"/>
                  <w:sz w:val="18"/>
                  <w:szCs w:val="18"/>
                  <w:color w:val="0000EE"/>
                  <w:w w:val="74"/>
                </w:rPr>
                <w:t>ii</w:t>
              </w:r>
            </w:hyperlink>
          </w:p>
        </w:tc>
        <w:tc>
          <w:tcPr>
            <w:tcW w:w="300" w:type="dxa"/>
            <w:vAlign w:val="bottom"/>
          </w:tcPr>
          <w:p>
            <w:pPr>
              <w:spacing w:after="0"/>
              <w:rPr>
                <w:sz w:val="18"/>
                <w:szCs w:val="18"/>
                <w:color w:val="auto"/>
              </w:rPr>
            </w:pPr>
          </w:p>
        </w:tc>
        <w:tc>
          <w:tcPr>
            <w:tcW w:w="4700" w:type="dxa"/>
            <w:vAlign w:val="bottom"/>
            <w:gridSpan w:val="1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Certain Relationships and Related Party Transactions</w:t>
              </w:r>
            </w:hyperlink>
          </w:p>
        </w:tc>
        <w:tc>
          <w:tcPr>
            <w:tcW w:w="820" w:type="dxa"/>
            <w:vAlign w:val="bottom"/>
            <w:gridSpan w:val="3"/>
          </w:tcPr>
          <w:p>
            <w:pPr>
              <w:jc w:val="center"/>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131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gridSpan w:val="10"/>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2880" w:type="dxa"/>
            <w:vAlign w:val="bottom"/>
            <w:gridSpan w:val="5"/>
            <w:shd w:val="clear" w:color="auto" w:fill="CCEEFF"/>
          </w:tcPr>
          <w:p>
            <w:pPr>
              <w:spacing w:after="0"/>
              <w:rPr>
                <w:sz w:val="21"/>
                <w:szCs w:val="21"/>
                <w:color w:val="auto"/>
              </w:rPr>
            </w:pPr>
          </w:p>
        </w:tc>
        <w:tc>
          <w:tcPr>
            <w:tcW w:w="400" w:type="dxa"/>
            <w:vAlign w:val="bottom"/>
            <w:tcBorders>
              <w:right w:val="single" w:sz="8" w:color="CCEEFF"/>
            </w:tcBorders>
            <w:gridSpan w:val="2"/>
            <w:shd w:val="clear" w:color="auto" w:fill="CCEEFF"/>
          </w:tcPr>
          <w:p>
            <w:pPr>
              <w:spacing w:after="0"/>
              <w:rPr>
                <w:sz w:val="21"/>
                <w:szCs w:val="21"/>
                <w:color w:val="auto"/>
              </w:rPr>
            </w:pPr>
          </w:p>
        </w:tc>
        <w:tc>
          <w:tcPr>
            <w:tcW w:w="400" w:type="dxa"/>
            <w:vAlign w:val="bottom"/>
            <w:tcBorders>
              <w:right w:val="single" w:sz="8" w:color="CCEEFF"/>
            </w:tcBorders>
            <w:gridSpan w:val="2"/>
            <w:shd w:val="clear" w:color="auto" w:fill="CCEEFF"/>
          </w:tcPr>
          <w:p>
            <w:pPr>
              <w:jc w:val="right"/>
              <w:ind w:right="320"/>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c>
          <w:tcPr>
            <w:tcW w:w="300" w:type="dxa"/>
            <w:vAlign w:val="bottom"/>
          </w:tcPr>
          <w:p>
            <w:pPr>
              <w:spacing w:after="0"/>
              <w:rPr>
                <w:sz w:val="21"/>
                <w:szCs w:val="21"/>
                <w:color w:val="auto"/>
              </w:rPr>
            </w:pPr>
          </w:p>
        </w:tc>
        <w:tc>
          <w:tcPr>
            <w:tcW w:w="4700" w:type="dxa"/>
            <w:vAlign w:val="bottom"/>
            <w:gridSpan w:val="14"/>
            <w:shd w:val="clear" w:color="auto" w:fill="CCEEFF"/>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Principal Shareholders</w:t>
              </w:r>
            </w:hyperlink>
          </w:p>
        </w:tc>
        <w:tc>
          <w:tcPr>
            <w:tcW w:w="820" w:type="dxa"/>
            <w:vAlign w:val="bottom"/>
            <w:gridSpan w:val="3"/>
            <w:shd w:val="clear" w:color="auto" w:fill="CCEEFF"/>
          </w:tcPr>
          <w:p>
            <w:pPr>
              <w:jc w:val="center"/>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136</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8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00" w:type="dxa"/>
            <w:vAlign w:val="bottom"/>
            <w:gridSpan w:val="14"/>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Description of Warrants</w:t>
              </w:r>
            </w:hyperlink>
          </w:p>
        </w:tc>
        <w:tc>
          <w:tcPr>
            <w:tcW w:w="820" w:type="dxa"/>
            <w:vAlign w:val="bottom"/>
            <w:gridSpan w:val="3"/>
          </w:tcPr>
          <w:p>
            <w:pPr>
              <w:jc w:val="cente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141</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gridSpan w:val="15"/>
            <w:shd w:val="clear" w:color="auto" w:fill="CCEEFF"/>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Special Note Regarding Forward-Looking Statements</w:t>
              </w:r>
            </w:hyperlink>
          </w:p>
        </w:tc>
        <w:tc>
          <w:tcPr>
            <w:tcW w:w="4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320" w:type="dxa"/>
            <w:vAlign w:val="bottom"/>
            <w:tcBorders>
              <w:right w:val="single" w:sz="8" w:color="CCEEFF"/>
            </w:tcBorders>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4700" w:type="dxa"/>
            <w:vAlign w:val="bottom"/>
            <w:gridSpan w:val="14"/>
            <w:shd w:val="clear" w:color="auto" w:fill="CCEEFF"/>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Description of Share Capital</w:t>
              </w:r>
            </w:hyperlink>
          </w:p>
        </w:tc>
        <w:tc>
          <w:tcPr>
            <w:tcW w:w="82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145</w:t>
              </w:r>
            </w:hyperlink>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gridSpan w:val="1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Use of Proceeds</w:t>
              </w:r>
            </w:hyperlink>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00" w:type="dxa"/>
            <w:vAlign w:val="bottom"/>
            <w:gridSpan w:val="14"/>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Taxation and Government Programs</w:t>
              </w:r>
            </w:hyperlink>
          </w:p>
        </w:tc>
        <w:tc>
          <w:tcPr>
            <w:tcW w:w="820" w:type="dxa"/>
            <w:vAlign w:val="bottom"/>
            <w:gridSpan w:val="3"/>
          </w:tcPr>
          <w:p>
            <w:pPr>
              <w:jc w:val="center"/>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153</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15"/>
            <w:shd w:val="clear" w:color="auto" w:fill="CCEEFF"/>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Dividend Policy</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320" w:type="dxa"/>
            <w:vAlign w:val="bottom"/>
            <w:tcBorders>
              <w:righ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4700" w:type="dxa"/>
            <w:vAlign w:val="bottom"/>
            <w:gridSpan w:val="14"/>
            <w:shd w:val="clear" w:color="auto" w:fill="CCEEFF"/>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Shares Eligible for Future Sale</w:t>
              </w:r>
            </w:hyperlink>
          </w:p>
        </w:tc>
        <w:tc>
          <w:tcPr>
            <w:tcW w:w="820" w:type="dxa"/>
            <w:vAlign w:val="bottom"/>
            <w:gridSpan w:val="3"/>
            <w:shd w:val="clear" w:color="auto" w:fill="CCEEFF"/>
          </w:tcPr>
          <w:p>
            <w:pPr>
              <w:jc w:val="center"/>
              <w:spacing w:after="0"/>
              <w:rPr>
                <w:rFonts w:ascii="Arial" w:cs="Arial" w:eastAsia="Arial" w:hAnsi="Arial"/>
                <w:sz w:val="18"/>
                <w:szCs w:val="18"/>
                <w:color w:val="0000EE"/>
                <w:w w:val="86"/>
              </w:rPr>
            </w:pPr>
            <w:hyperlink w:anchor="page167">
              <w:r>
                <w:rPr>
                  <w:rFonts w:ascii="Arial" w:cs="Arial" w:eastAsia="Arial" w:hAnsi="Arial"/>
                  <w:sz w:val="18"/>
                  <w:szCs w:val="18"/>
                  <w:color w:val="0000EE"/>
                  <w:w w:val="86"/>
                </w:rPr>
                <w:t>164</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Capitalization</w:t>
              </w:r>
            </w:hyperlink>
          </w:p>
        </w:tc>
        <w:tc>
          <w:tcPr>
            <w:tcW w:w="3560" w:type="dxa"/>
            <w:vAlign w:val="bottom"/>
            <w:gridSpan w:val="7"/>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58</w:t>
              </w:r>
            </w:hyperlink>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Underwriting</w:t>
              </w:r>
            </w:hyperlink>
          </w:p>
        </w:tc>
        <w:tc>
          <w:tcPr>
            <w:tcW w:w="2480" w:type="dxa"/>
            <w:vAlign w:val="bottom"/>
            <w:gridSpan w:val="5"/>
          </w:tcPr>
          <w:p>
            <w:pPr>
              <w:spacing w:after="0"/>
              <w:rPr>
                <w:sz w:val="19"/>
                <w:szCs w:val="19"/>
                <w:color w:val="auto"/>
              </w:rPr>
            </w:pPr>
          </w:p>
        </w:tc>
        <w:tc>
          <w:tcPr>
            <w:tcW w:w="820" w:type="dxa"/>
            <w:vAlign w:val="bottom"/>
            <w:gridSpan w:val="3"/>
          </w:tcPr>
          <w:p>
            <w:pPr>
              <w:jc w:val="center"/>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167</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15"/>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Dilution</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320" w:type="dxa"/>
            <w:vAlign w:val="bottom"/>
            <w:tcBorders>
              <w:righ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4700" w:type="dxa"/>
            <w:vAlign w:val="bottom"/>
            <w:gridSpan w:val="14"/>
            <w:shd w:val="clear" w:color="auto" w:fill="CCEEFF"/>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Expenses Related to the Offering</w:t>
              </w:r>
            </w:hyperlink>
          </w:p>
        </w:tc>
        <w:tc>
          <w:tcPr>
            <w:tcW w:w="820" w:type="dxa"/>
            <w:vAlign w:val="bottom"/>
            <w:gridSpan w:val="3"/>
            <w:shd w:val="clear" w:color="auto" w:fill="CCEEFF"/>
          </w:tcPr>
          <w:p>
            <w:pPr>
              <w:jc w:val="center"/>
              <w:spacing w:after="0"/>
              <w:rPr>
                <w:rFonts w:ascii="Arial" w:cs="Arial" w:eastAsia="Arial" w:hAnsi="Arial"/>
                <w:sz w:val="18"/>
                <w:szCs w:val="18"/>
                <w:color w:val="0000EE"/>
                <w:w w:val="86"/>
              </w:rPr>
            </w:pPr>
            <w:hyperlink w:anchor="page177">
              <w:r>
                <w:rPr>
                  <w:rFonts w:ascii="Arial" w:cs="Arial" w:eastAsia="Arial" w:hAnsi="Arial"/>
                  <w:sz w:val="18"/>
                  <w:szCs w:val="18"/>
                  <w:color w:val="0000EE"/>
                  <w:w w:val="86"/>
                </w:rPr>
                <w:t>174</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1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Exchange Rates</w:t>
              </w:r>
            </w:hyperlink>
          </w:p>
        </w:tc>
        <w:tc>
          <w:tcPr>
            <w:tcW w:w="48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00" w:type="dxa"/>
            <w:vAlign w:val="bottom"/>
            <w:gridSpan w:val="1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Legal Matters</w:t>
              </w:r>
            </w:hyperlink>
          </w:p>
        </w:tc>
        <w:tc>
          <w:tcPr>
            <w:tcW w:w="820" w:type="dxa"/>
            <w:vAlign w:val="bottom"/>
            <w:gridSpan w:val="3"/>
          </w:tcPr>
          <w:p>
            <w:pPr>
              <w:jc w:val="center"/>
              <w:spacing w:after="0"/>
              <w:rPr>
                <w:rFonts w:ascii="Arial" w:cs="Arial" w:eastAsia="Arial" w:hAnsi="Arial"/>
                <w:sz w:val="18"/>
                <w:szCs w:val="18"/>
                <w:color w:val="0000EE"/>
                <w:w w:val="86"/>
              </w:rPr>
            </w:pPr>
            <w:hyperlink w:anchor="page177">
              <w:r>
                <w:rPr>
                  <w:rFonts w:ascii="Arial" w:cs="Arial" w:eastAsia="Arial" w:hAnsi="Arial"/>
                  <w:sz w:val="18"/>
                  <w:szCs w:val="18"/>
                  <w:color w:val="0000EE"/>
                  <w:w w:val="86"/>
                </w:rPr>
                <w:t>174</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gridSpan w:val="9"/>
            <w:shd w:val="clear" w:color="auto" w:fill="CCEEFF"/>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Selected Financial Data</w:t>
              </w:r>
            </w:hyperlink>
          </w:p>
        </w:tc>
        <w:tc>
          <w:tcPr>
            <w:tcW w:w="3020" w:type="dxa"/>
            <w:vAlign w:val="bottom"/>
            <w:gridSpan w:val="6"/>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63</w:t>
              </w:r>
            </w:hyperlink>
          </w:p>
        </w:tc>
        <w:tc>
          <w:tcPr>
            <w:tcW w:w="320" w:type="dxa"/>
            <w:vAlign w:val="bottom"/>
            <w:tcBorders>
              <w:righ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shd w:val="clear" w:color="auto" w:fill="CCEEFF"/>
          </w:tcPr>
          <w:p>
            <w:pPr>
              <w:spacing w:after="0"/>
              <w:rPr>
                <w:rFonts w:ascii="Arial" w:cs="Arial" w:eastAsia="Arial" w:hAnsi="Arial"/>
                <w:sz w:val="18"/>
                <w:szCs w:val="18"/>
                <w:color w:val="0000EE"/>
                <w:w w:val="88"/>
              </w:rPr>
            </w:pPr>
            <w:hyperlink w:anchor="page177">
              <w:r>
                <w:rPr>
                  <w:rFonts w:ascii="Arial" w:cs="Arial" w:eastAsia="Arial" w:hAnsi="Arial"/>
                  <w:sz w:val="18"/>
                  <w:szCs w:val="18"/>
                  <w:color w:val="0000EE"/>
                  <w:w w:val="88"/>
                </w:rPr>
                <w:t>Experts</w:t>
              </w:r>
            </w:hyperlink>
          </w:p>
        </w:tc>
        <w:tc>
          <w:tcPr>
            <w:tcW w:w="4140" w:type="dxa"/>
            <w:vAlign w:val="bottom"/>
            <w:gridSpan w:val="13"/>
            <w:shd w:val="clear" w:color="auto" w:fill="CCEEFF"/>
          </w:tcPr>
          <w:p>
            <w:pPr>
              <w:spacing w:after="0"/>
              <w:rPr>
                <w:sz w:val="19"/>
                <w:szCs w:val="19"/>
                <w:color w:val="auto"/>
              </w:rPr>
            </w:pPr>
          </w:p>
        </w:tc>
        <w:tc>
          <w:tcPr>
            <w:tcW w:w="820" w:type="dxa"/>
            <w:vAlign w:val="bottom"/>
            <w:gridSpan w:val="3"/>
            <w:shd w:val="clear" w:color="auto" w:fill="CCEEFF"/>
          </w:tcPr>
          <w:p>
            <w:pPr>
              <w:jc w:val="center"/>
              <w:spacing w:after="0"/>
              <w:rPr>
                <w:rFonts w:ascii="Arial" w:cs="Arial" w:eastAsia="Arial" w:hAnsi="Arial"/>
                <w:sz w:val="18"/>
                <w:szCs w:val="18"/>
                <w:color w:val="0000EE"/>
                <w:w w:val="86"/>
              </w:rPr>
            </w:pPr>
            <w:hyperlink w:anchor="page177">
              <w:r>
                <w:rPr>
                  <w:rFonts w:ascii="Arial" w:cs="Arial" w:eastAsia="Arial" w:hAnsi="Arial"/>
                  <w:sz w:val="18"/>
                  <w:szCs w:val="18"/>
                  <w:color w:val="0000EE"/>
                  <w:w w:val="86"/>
                </w:rPr>
                <w:t>174</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Management’s Discussion and Analysis of Financial</w:t>
              </w:r>
            </w:hyperlink>
          </w:p>
        </w:tc>
        <w:tc>
          <w:tcPr>
            <w:tcW w:w="9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00" w:type="dxa"/>
            <w:vAlign w:val="bottom"/>
            <w:gridSpan w:val="14"/>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Enforceability of Civil Liabilities</w:t>
              </w:r>
            </w:hyperlink>
          </w:p>
        </w:tc>
        <w:tc>
          <w:tcPr>
            <w:tcW w:w="820" w:type="dxa"/>
            <w:vAlign w:val="bottom"/>
            <w:gridSpan w:val="3"/>
          </w:tcPr>
          <w:p>
            <w:pPr>
              <w:jc w:val="center"/>
              <w:spacing w:after="0" w:line="196" w:lineRule="exact"/>
              <w:rPr>
                <w:rFonts w:ascii="Arial" w:cs="Arial" w:eastAsia="Arial" w:hAnsi="Arial"/>
                <w:sz w:val="18"/>
                <w:szCs w:val="18"/>
                <w:color w:val="0000EE"/>
                <w:w w:val="86"/>
              </w:rPr>
            </w:pPr>
            <w:hyperlink w:anchor="page178">
              <w:r>
                <w:rPr>
                  <w:rFonts w:ascii="Arial" w:cs="Arial" w:eastAsia="Arial" w:hAnsi="Arial"/>
                  <w:sz w:val="18"/>
                  <w:szCs w:val="18"/>
                  <w:color w:val="0000EE"/>
                  <w:w w:val="86"/>
                </w:rPr>
                <w:t>175</w:t>
              </w:r>
            </w:hyperlink>
          </w:p>
        </w:tc>
        <w:tc>
          <w:tcPr>
            <w:tcW w:w="0" w:type="dxa"/>
            <w:vAlign w:val="bottom"/>
          </w:tcPr>
          <w:p>
            <w:pPr>
              <w:spacing w:after="0"/>
              <w:rPr>
                <w:sz w:val="1"/>
                <w:szCs w:val="1"/>
                <w:color w:val="auto"/>
              </w:rPr>
            </w:pPr>
          </w:p>
        </w:tc>
      </w:tr>
      <w:tr>
        <w:trPr>
          <w:trHeight w:val="20"/>
        </w:trPr>
        <w:tc>
          <w:tcPr>
            <w:tcW w:w="4740" w:type="dxa"/>
            <w:vAlign w:val="bottom"/>
            <w:gridSpan w:val="15"/>
            <w:vMerge w:val="restart"/>
          </w:tcPr>
          <w:p>
            <w:pPr>
              <w:ind w:left="18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Condition and Results of Operations</w:t>
              </w:r>
            </w:hyperlink>
          </w:p>
        </w:tc>
        <w:tc>
          <w:tcPr>
            <w:tcW w:w="480" w:type="dxa"/>
            <w:vAlign w:val="bottom"/>
            <w:gridSpan w:val="3"/>
            <w:vMerge w:val="restart"/>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gridSpan w:val="15"/>
            <w:vMerge w:val="continue"/>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14"/>
            <w:vMerge w:val="restart"/>
            <w:shd w:val="clear" w:color="auto" w:fill="CCEEFF"/>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Where You Can Find More Information</w:t>
              </w:r>
            </w:hyperlink>
          </w:p>
        </w:tc>
        <w:tc>
          <w:tcPr>
            <w:tcW w:w="820" w:type="dxa"/>
            <w:vAlign w:val="bottom"/>
            <w:gridSpan w:val="3"/>
            <w:vMerge w:val="restart"/>
            <w:shd w:val="clear" w:color="auto" w:fill="CCEEFF"/>
          </w:tcPr>
          <w:p>
            <w:pPr>
              <w:jc w:val="cente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176</w:t>
              </w:r>
            </w:hyperlink>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700" w:type="dxa"/>
            <w:vAlign w:val="bottom"/>
            <w:tcBorders>
              <w:top w:val="single" w:sz="8" w:color="CCEEFF"/>
            </w:tcBorders>
            <w:gridSpan w:val="14"/>
            <w:vMerge w:val="continue"/>
            <w:shd w:val="clear" w:color="auto" w:fill="CCEEFF"/>
          </w:tcPr>
          <w:p>
            <w:pPr>
              <w:spacing w:after="0"/>
              <w:rPr>
                <w:sz w:val="3"/>
                <w:szCs w:val="3"/>
                <w:color w:val="auto"/>
              </w:rPr>
            </w:pPr>
          </w:p>
        </w:tc>
        <w:tc>
          <w:tcPr>
            <w:tcW w:w="820" w:type="dxa"/>
            <w:vAlign w:val="bottom"/>
            <w:tcBorders>
              <w:top w:val="single" w:sz="8" w:color="CCEEFF"/>
            </w:tcBorders>
            <w:gridSpan w:val="3"/>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640" w:type="dxa"/>
            <w:vAlign w:val="bottom"/>
            <w:tcBorders>
              <w:top w:val="single" w:sz="8" w:color="CCEEFF"/>
            </w:tcBorders>
            <w:gridSpan w:val="3"/>
            <w:vMerge w:val="restart"/>
            <w:shd w:val="clear" w:color="auto" w:fill="CCEEFF"/>
          </w:tcPr>
          <w:p>
            <w:pPr>
              <w:spacing w:after="0" w:line="182" w:lineRule="exact"/>
              <w:rPr>
                <w:rFonts w:ascii="Arial" w:cs="Arial" w:eastAsia="Arial" w:hAnsi="Arial"/>
                <w:sz w:val="18"/>
                <w:szCs w:val="18"/>
                <w:color w:val="0000EE"/>
                <w:w w:val="84"/>
              </w:rPr>
            </w:pPr>
            <w:hyperlink w:anchor="page81">
              <w:r>
                <w:rPr>
                  <w:rFonts w:ascii="Arial" w:cs="Arial" w:eastAsia="Arial" w:hAnsi="Arial"/>
                  <w:sz w:val="18"/>
                  <w:szCs w:val="18"/>
                  <w:color w:val="0000EE"/>
                  <w:w w:val="84"/>
                </w:rPr>
                <w:t>Business</w:t>
              </w:r>
            </w:hyperlink>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gridSpan w:val="2"/>
            <w:vMerge w:val="restart"/>
            <w:shd w:val="clear" w:color="auto" w:fill="CCEEFF"/>
          </w:tcPr>
          <w:p>
            <w:pPr>
              <w:jc w:val="right"/>
              <w:spacing w:after="0" w:line="18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right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vMerge w:val="continue"/>
            <w:shd w:val="clear" w:color="auto" w:fill="CCEEFF"/>
          </w:tcPr>
          <w:p>
            <w:pPr>
              <w:spacing w:after="0"/>
              <w:rPr>
                <w:sz w:val="17"/>
                <w:szCs w:val="17"/>
                <w:color w:val="auto"/>
              </w:rPr>
            </w:pPr>
          </w:p>
        </w:tc>
        <w:tc>
          <w:tcPr>
            <w:tcW w:w="4100" w:type="dxa"/>
            <w:vAlign w:val="bottom"/>
            <w:tcBorders>
              <w:bottom w:val="single" w:sz="8" w:color="CCEEFF"/>
            </w:tcBorders>
            <w:gridSpan w:val="1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vMerge w:val="continue"/>
            <w:shd w:val="clear" w:color="auto" w:fill="CCEEFF"/>
          </w:tcPr>
          <w:p>
            <w:pPr>
              <w:spacing w:after="0"/>
              <w:rPr>
                <w:sz w:val="17"/>
                <w:szCs w:val="17"/>
                <w:color w:val="auto"/>
              </w:rPr>
            </w:pP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vMerge w:val="restart"/>
          </w:tcPr>
          <w:p>
            <w:pPr>
              <w:spacing w:after="0"/>
              <w:rPr>
                <w:sz w:val="17"/>
                <w:szCs w:val="17"/>
                <w:color w:val="auto"/>
              </w:rPr>
            </w:pPr>
          </w:p>
        </w:tc>
        <w:tc>
          <w:tcPr>
            <w:tcW w:w="2860" w:type="dxa"/>
            <w:vAlign w:val="bottom"/>
            <w:gridSpan w:val="12"/>
            <w:vMerge w:val="restart"/>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Index to Financial Statements</w:t>
              </w:r>
            </w:hyperlink>
          </w:p>
        </w:tc>
        <w:tc>
          <w:tcPr>
            <w:tcW w:w="1840" w:type="dxa"/>
            <w:vAlign w:val="bottom"/>
            <w:gridSpan w:val="2"/>
            <w:vMerge w:val="restart"/>
          </w:tcPr>
          <w:p>
            <w:pPr>
              <w:spacing w:after="0"/>
              <w:rPr>
                <w:sz w:val="17"/>
                <w:szCs w:val="17"/>
                <w:color w:val="auto"/>
              </w:rPr>
            </w:pPr>
          </w:p>
        </w:tc>
        <w:tc>
          <w:tcPr>
            <w:tcW w:w="300" w:type="dxa"/>
            <w:vAlign w:val="bottom"/>
            <w:vMerge w:val="restart"/>
          </w:tcPr>
          <w:p>
            <w:pPr>
              <w:spacing w:after="0"/>
              <w:rPr>
                <w:sz w:val="17"/>
                <w:szCs w:val="17"/>
                <w:color w:val="auto"/>
              </w:rPr>
            </w:pPr>
          </w:p>
        </w:tc>
        <w:tc>
          <w:tcPr>
            <w:tcW w:w="520" w:type="dxa"/>
            <w:vAlign w:val="bottom"/>
            <w:gridSpan w:val="2"/>
            <w:vMerge w:val="restart"/>
          </w:tcPr>
          <w:p>
            <w:pPr>
              <w:jc w:val="center"/>
              <w:ind w:right="280"/>
              <w:spacing w:after="0"/>
              <w:rPr>
                <w:rFonts w:ascii="Arial" w:cs="Arial" w:eastAsia="Arial" w:hAnsi="Arial"/>
                <w:sz w:val="18"/>
                <w:szCs w:val="18"/>
                <w:color w:val="0000EE"/>
                <w:w w:val="88"/>
              </w:rPr>
            </w:pPr>
            <w:hyperlink w:anchor="page180">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860" w:type="dxa"/>
            <w:vAlign w:val="bottom"/>
            <w:gridSpan w:val="12"/>
            <w:vMerge w:val="continue"/>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283210</wp:posOffset>
            </wp:positionV>
            <wp:extent cx="1724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Neither we nor the underwriters have authorized anyone to provide information other than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You should assume that the information appearing in this prospectus is accurate only as of the date on the front cover of this prospectus, regardless of the time of delivery of this prospectus or any sale of our ordinary shares or warrants. This prospectus is not an offer to sell or the solicitation of an offer to buy these ordinary shares or warrants in any circumstances under which such offer or solicitation is unlawful.</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taken any action to permit a public offering of the ordinary shares and warrants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warrants,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report under International Financial Reporting Standards as issued by the International Accounting Standards Board (the “IFRS” and the “IASB”). None of the financial statements were prepared in accordance with generally accepted accounting principles in the United States. We present our financial statements in U.S. dollars. We have made rounding adjustments to some of the figures included in this prospectus. Accordingly, numerical figures shown as totals in some tables may not be an arithmetic aggregation of the figures that precede them.</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Items included in our financial statements are measured using the currency of the primary economic environment in which we operate, the U.S. dollar (“the functional currency”). Our financial statements and other financial information included in this prospectus are presented in U.S. dollars unless otherwise noted. See Note 2 to our financial statements included elsewhere in this prospectus.</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“NIS” are to the legal currency of Israel, “U.S. dollars,” “$” or “dollars” are to United States dollars, “euro” or “€” are to the Euro, the legal currency of certain countries of the European Union.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prospectus includes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Certain estimates and forecasts involve uncertainties and risks and are subject to change based on various factors, including those discussed under the headings “Special Note Regarding Forward-Looking Statements” and “Risk Factors” in this prospectus.</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280" w:right="220"/>
        <w:spacing w:after="0" w:line="302"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This summary does not contain all of the information that you should consider before deciding to invest in our ordinary shares and warrants. You should read this entire prospectus carefully, including the “Risk Factors” section and the financial statements included elsewhere in this prospectus and the notes to those financial statements, before making an investment decision. In this prospectus, the terms “Entera,” “we,” “us,” “our,” “the Company” and “our company” refer to Entera Bio Ltd.</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Business</w:t>
      </w:r>
    </w:p>
    <w:p>
      <w:pPr>
        <w:spacing w:after="0" w:line="108" w:lineRule="exact"/>
        <w:rPr>
          <w:sz w:val="20"/>
          <w:szCs w:val="20"/>
          <w:color w:val="auto"/>
        </w:rPr>
      </w:pPr>
    </w:p>
    <w:p>
      <w:pPr>
        <w:ind w:left="280" w:right="20"/>
        <w:spacing w:after="0" w:line="272"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U.S. Food and Drug Administration, or FDA, and the European Medicines Agency, or EMA, have granted EB612 orphan drug designation for the treatment of hypoparathyroidism. We intend to utilize future funds, as available, to prepare EB612 for advanced clinical studies and ultimately for regulatory approval.</w:t>
      </w:r>
    </w:p>
    <w:p>
      <w:pPr>
        <w:spacing w:after="0" w:line="70" w:lineRule="exact"/>
        <w:rPr>
          <w:sz w:val="20"/>
          <w:szCs w:val="20"/>
          <w:color w:val="auto"/>
        </w:rPr>
      </w:pPr>
    </w:p>
    <w:p>
      <w:pPr>
        <w:ind w:left="280" w:right="40"/>
        <w:spacing w:after="0" w:line="276" w:lineRule="auto"/>
        <w:rPr>
          <w:sz w:val="20"/>
          <w:szCs w:val="20"/>
          <w:color w:val="auto"/>
        </w:rPr>
      </w:pPr>
      <w:r>
        <w:rPr>
          <w:rFonts w:ascii="Arial" w:cs="Arial" w:eastAsia="Arial" w:hAnsi="Arial"/>
          <w:sz w:val="16"/>
          <w:szCs w:val="16"/>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National Institutes of Health, or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74" w:lineRule="exact"/>
        <w:rPr>
          <w:sz w:val="20"/>
          <w:szCs w:val="20"/>
          <w:color w:val="auto"/>
        </w:rPr>
      </w:pPr>
    </w:p>
    <w:p>
      <w:pPr>
        <w:ind w:left="280"/>
        <w:spacing w:after="0" w:line="269" w:lineRule="auto"/>
        <w:rPr>
          <w:sz w:val="20"/>
          <w:szCs w:val="20"/>
          <w:color w:val="auto"/>
        </w:rPr>
      </w:pPr>
      <w:r>
        <w:rPr>
          <w:rFonts w:ascii="Arial" w:cs="Arial" w:eastAsia="Arial" w:hAnsi="Arial"/>
          <w:sz w:val="17"/>
          <w:szCs w:val="17"/>
          <w:color w:val="auto"/>
        </w:rPr>
        <w:t>In the third quarter of 2015, we successfully completed our Phase 2a trial for EB612. The end points in the trial were met, and 17 subjects completed the four-month trial and reported no confirmed related serious or significant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of PTH, including convenience of application, that no special preparation is required and that it can be stored under convenient storage conditions (room temperature or refrigeration for long term storage). Additionally, based on the results of our preliminary study, we believe that EB612 will have an enhanced clinical profile as compared to Natpara, with an additional normalizing effect on elevated urinary calcium, as well as reduced side effects. If our preliminary results are borne out in additional trials, we believe this combination of advantages and long term clinical benefits will be very compelling to both patients and physicians.</w:t>
      </w:r>
    </w:p>
    <w:p>
      <w:pPr>
        <w:sectPr>
          <w:pgSz w:w="11900" w:h="16838" w:orient="portrait"/>
          <w:cols w:equalWidth="0" w:num="1">
            <w:col w:w="11160"/>
          </w:cols>
          <w:pgMar w:left="240" w:top="13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right="200"/>
        <w:spacing w:after="0" w:line="259" w:lineRule="auto"/>
        <w:rPr>
          <w:sz w:val="20"/>
          <w:szCs w:val="20"/>
          <w:color w:val="auto"/>
        </w:rPr>
      </w:pPr>
      <w:r>
        <w:rPr>
          <w:rFonts w:ascii="Arial" w:cs="Arial" w:eastAsia="Arial" w:hAnsi="Arial"/>
          <w:sz w:val="18"/>
          <w:szCs w:val="18"/>
          <w:color w:val="auto"/>
        </w:rPr>
        <w:t>Based on consultations with key opinion leaders in the hypoparathyroidism field who have reviewed our Phase 2a results and are familiar with the REPLACE study, we have begun planning for a future Phase 2b/3 trial, designed to possibly be a pivotal study for registration. We expect that this Phase 2b/3 study, when initiated, will be designed to replicate the REPLACE study in many aspects and to achieve a significant reduction in urinary calcium.</w:t>
      </w:r>
    </w:p>
    <w:p>
      <w:pPr>
        <w:spacing w:after="0" w:line="79" w:lineRule="exact"/>
        <w:rPr>
          <w:sz w:val="20"/>
          <w:szCs w:val="20"/>
          <w:color w:val="auto"/>
        </w:rPr>
      </w:pPr>
    </w:p>
    <w:p>
      <w:pPr>
        <w:ind w:left="280"/>
        <w:spacing w:after="0" w:line="252" w:lineRule="auto"/>
        <w:rPr>
          <w:sz w:val="20"/>
          <w:szCs w:val="20"/>
          <w:color w:val="auto"/>
        </w:rPr>
      </w:pPr>
      <w:r>
        <w:rPr>
          <w:rFonts w:ascii="Arial" w:cs="Arial" w:eastAsia="Arial" w:hAnsi="Arial"/>
          <w:sz w:val="17"/>
          <w:szCs w:val="17"/>
          <w:color w:val="auto"/>
        </w:rPr>
        <w:t>We are also developing an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have osteoporosis, and another approximately 43 million have low bone mass placing them at increased risk for osteoporosis. PTH plays a key role in the ongoing process of formation and degradation of bones. Forteo</w:t>
      </w:r>
      <w:r>
        <w:rPr>
          <w:rFonts w:ascii="Arial" w:cs="Arial" w:eastAsia="Arial" w:hAnsi="Arial"/>
          <w:sz w:val="26"/>
          <w:szCs w:val="26"/>
          <w:color w:val="auto"/>
          <w:vertAlign w:val="superscript"/>
        </w:rPr>
        <w:t>®</w:t>
      </w:r>
      <w:r>
        <w:rPr>
          <w:rFonts w:ascii="Arial" w:cs="Arial" w:eastAsia="Arial" w:hAnsi="Arial"/>
          <w:sz w:val="17"/>
          <w:szCs w:val="17"/>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delivered orally, we believe it will reduce the treatment burden on patients and lead to significantly higher patient and physician acceptance compared to an injectable form of PTH.</w:t>
      </w:r>
    </w:p>
    <w:p>
      <w:pPr>
        <w:spacing w:after="0" w:line="89" w:lineRule="exact"/>
        <w:rPr>
          <w:sz w:val="20"/>
          <w:szCs w:val="20"/>
          <w:color w:val="auto"/>
        </w:rPr>
      </w:pPr>
    </w:p>
    <w:p>
      <w:pPr>
        <w:ind w:left="280"/>
        <w:spacing w:after="0" w:line="288" w:lineRule="auto"/>
        <w:rPr>
          <w:sz w:val="20"/>
          <w:szCs w:val="20"/>
          <w:color w:val="auto"/>
        </w:rPr>
      </w:pPr>
      <w:r>
        <w:rPr>
          <w:rFonts w:ascii="Arial" w:cs="Arial" w:eastAsia="Arial" w:hAnsi="Arial"/>
          <w:sz w:val="16"/>
          <w:szCs w:val="16"/>
          <w:color w:val="auto"/>
        </w:rPr>
        <w:t>We intend to pursue approval of EB613 utilizing the alternative Section 505(b)(2) pathway permitted under the Federal Food, Drug and Cosmetic Act. Based on recent changes in guidance issued by the FDA and the similarity of our product’s pharmokinetic profile, or PK profile, to that of Forteo, we believe it is feasible to complete an NDA submission for EB613 with one or two pivotal Phase 3 studies, conducted with approximately 400-500 osteoporosis patients, that will examine bone mineral density and particular biochemical markers of bone activity. These studies would be conducted in anticipation of a 505(b)(2) application to the FDA and would include a comparison to the currently marketed drug, Forteo. In pursuit of this pathway, our intent is to seek FDA guidance as part of a Pre-IND meeting in the second half of 2018. Based on the responses of the FDA, we intend to conduct a dose ranging Phase 2a study in approximately 150 osteoporosis patients. Following analysis of this data, we intend to design and execute pivotal trial(s) in osteoporosis patients guided by the feedback of the FDA. We currently do not anticipate that the FDA will request that we examine the effects on bone mineral density in these trials past 12 months. We therefore believe that this alternative pathway will be significantly shorter than a pathway that utilizes bone fracture studies in significantly larger numbers of patients over greater periods of time.</w:t>
      </w:r>
    </w:p>
    <w:p>
      <w:pPr>
        <w:spacing w:after="0" w:line="61" w:lineRule="exact"/>
        <w:rPr>
          <w:sz w:val="20"/>
          <w:szCs w:val="20"/>
          <w:color w:val="auto"/>
        </w:rPr>
      </w:pPr>
    </w:p>
    <w:p>
      <w:pPr>
        <w:ind w:left="280" w:right="60"/>
        <w:spacing w:after="0" w:line="270"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 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74" w:lineRule="exact"/>
        <w:rPr>
          <w:sz w:val="20"/>
          <w:szCs w:val="20"/>
          <w:color w:val="auto"/>
        </w:rPr>
      </w:pPr>
    </w:p>
    <w:p>
      <w:pPr>
        <w:ind w:left="280" w:right="200"/>
        <w:spacing w:after="0" w:line="257" w:lineRule="auto"/>
        <w:rPr>
          <w:sz w:val="20"/>
          <w:szCs w:val="20"/>
          <w:color w:val="auto"/>
        </w:rPr>
      </w:pPr>
      <w:r>
        <w:rPr>
          <w:rFonts w:ascii="Arial" w:cs="Arial" w:eastAsia="Arial" w:hAnsi="Arial"/>
          <w:sz w:val="18"/>
          <w:szCs w:val="18"/>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in the future.</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right="38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79" w:lineRule="exact"/>
        <w:rPr>
          <w:sz w:val="20"/>
          <w:szCs w:val="20"/>
          <w:color w:val="auto"/>
        </w:rPr>
      </w:pPr>
    </w:p>
    <w:p>
      <w:pPr>
        <w:ind w:left="280" w:right="1160"/>
        <w:spacing w:after="0" w:line="262"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61" w:lineRule="exact"/>
        <w:rPr>
          <w:sz w:val="20"/>
          <w:szCs w:val="20"/>
          <w:color w:val="auto"/>
        </w:rPr>
      </w:pPr>
    </w:p>
    <w:p>
      <w:pPr>
        <w:ind w:left="280" w:right="300"/>
        <w:spacing w:after="0" w:line="264" w:lineRule="auto"/>
        <w:rPr>
          <w:sz w:val="20"/>
          <w:szCs w:val="20"/>
          <w:color w:val="auto"/>
        </w:rPr>
      </w:pPr>
      <w:r>
        <w:rPr>
          <w:rFonts w:ascii="Arial" w:cs="Arial" w:eastAsia="Arial" w:hAnsi="Arial"/>
          <w:sz w:val="18"/>
          <w:szCs w:val="18"/>
          <w:color w:val="auto"/>
        </w:rPr>
        <w:t>While our operations are currently focused in our offices in Israel, we intend in coming years to build a substantial U.S. presence to execute on the later stage development of our products, including by expanding our executive management team, clinical operations, regulatory operations, and commercialization.</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left="280" w:right="260"/>
        <w:spacing w:after="0" w:line="30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106" w:lineRule="exact"/>
        <w:rPr>
          <w:sz w:val="20"/>
          <w:szCs w:val="20"/>
          <w:color w:val="auto"/>
        </w:rPr>
      </w:pPr>
    </w:p>
    <w:p>
      <w:pPr>
        <w:ind w:left="1000" w:right="1300" w:hanging="362"/>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our lead product candidate, EB612, through clinical development and into commercialization for the treatment of hypoparathyroidism;</w:t>
      </w:r>
    </w:p>
    <w:p>
      <w:pPr>
        <w:spacing w:after="0" w:line="143" w:lineRule="exact"/>
        <w:rPr>
          <w:rFonts w:ascii="Arial" w:cs="Arial" w:eastAsia="Arial" w:hAnsi="Arial"/>
          <w:sz w:val="18"/>
          <w:szCs w:val="18"/>
          <w:color w:val="auto"/>
        </w:rPr>
      </w:pPr>
    </w:p>
    <w:p>
      <w:pPr>
        <w:ind w:left="1000" w:right="780" w:hanging="362"/>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Produce supportive clinical data for our second product candidate, EB613, submit a pre-IND for the treatment of osteoporosis and commence a dose finding Phase 2a study;</w:t>
      </w:r>
    </w:p>
    <w:p>
      <w:pPr>
        <w:spacing w:after="0" w:line="129" w:lineRule="exact"/>
        <w:rPr>
          <w:rFonts w:ascii="Arial" w:cs="Arial" w:eastAsia="Arial" w:hAnsi="Arial"/>
          <w:sz w:val="18"/>
          <w:szCs w:val="18"/>
          <w:color w:val="auto"/>
        </w:rPr>
      </w:pPr>
    </w:p>
    <w:p>
      <w:pPr>
        <w:ind w:left="1000" w:hanging="362"/>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our expertise in the oral delivery of PTH to develop product candidates in additional indications;</w:t>
      </w:r>
    </w:p>
    <w:p>
      <w:pPr>
        <w:spacing w:after="0" w:line="184" w:lineRule="exact"/>
        <w:rPr>
          <w:rFonts w:ascii="Arial" w:cs="Arial" w:eastAsia="Arial" w:hAnsi="Arial"/>
          <w:sz w:val="18"/>
          <w:szCs w:val="18"/>
          <w:color w:val="auto"/>
        </w:rPr>
      </w:pPr>
    </w:p>
    <w:p>
      <w:pPr>
        <w:ind w:left="1000" w:hanging="362"/>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the efficacy profile of large molecule therapeutics through the application of our proprietary oral delivery technology;</w:t>
      </w:r>
    </w:p>
    <w:p>
      <w:pPr>
        <w:spacing w:after="0" w:line="198" w:lineRule="exact"/>
        <w:rPr>
          <w:rFonts w:ascii="Arial" w:cs="Arial" w:eastAsia="Arial" w:hAnsi="Arial"/>
          <w:sz w:val="18"/>
          <w:szCs w:val="18"/>
          <w:color w:val="auto"/>
        </w:rPr>
      </w:pPr>
    </w:p>
    <w:p>
      <w:pPr>
        <w:ind w:left="1000" w:hanging="362"/>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our development and commercialization efforts on indications with significant unmet medical need; and</w:t>
      </w:r>
    </w:p>
    <w:p>
      <w:pPr>
        <w:spacing w:after="0" w:line="184" w:lineRule="exact"/>
        <w:rPr>
          <w:rFonts w:ascii="Arial" w:cs="Arial" w:eastAsia="Arial" w:hAnsi="Arial"/>
          <w:sz w:val="18"/>
          <w:szCs w:val="18"/>
          <w:color w:val="auto"/>
        </w:rPr>
      </w:pPr>
    </w:p>
    <w:p>
      <w:pPr>
        <w:ind w:left="1000" w:hanging="362"/>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Initially develop products based on FDA-approved large molecule therapeutics.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Technology</w:t>
      </w:r>
    </w:p>
    <w:p>
      <w:pPr>
        <w:spacing w:after="0" w:line="108" w:lineRule="exact"/>
        <w:rPr>
          <w:sz w:val="20"/>
          <w:szCs w:val="20"/>
          <w:color w:val="auto"/>
        </w:rPr>
      </w:pPr>
    </w:p>
    <w:p>
      <w:pPr>
        <w:ind w:left="280" w:right="140"/>
        <w:spacing w:after="0" w:line="259" w:lineRule="auto"/>
        <w:rPr>
          <w:sz w:val="20"/>
          <w:szCs w:val="20"/>
          <w:color w:val="auto"/>
        </w:rPr>
      </w:pPr>
      <w:r>
        <w:rPr>
          <w:rFonts w:ascii="Arial" w:cs="Arial" w:eastAsia="Arial" w:hAnsi="Arial"/>
          <w:sz w:val="18"/>
          <w:szCs w:val="18"/>
          <w:color w:val="auto"/>
        </w:rPr>
        <w:t>Currently, peptides, proteins and other large molecule therapeutics can only be delivered via injections and other non-oral-pathways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right="440"/>
        <w:spacing w:after="0" w:line="264" w:lineRule="auto"/>
        <w:rPr>
          <w:sz w:val="20"/>
          <w:szCs w:val="20"/>
          <w:color w:val="auto"/>
        </w:rPr>
      </w:pPr>
      <w:r>
        <w:rPr>
          <w:rFonts w:ascii="Arial" w:cs="Arial" w:eastAsia="Arial" w:hAnsi="Arial"/>
          <w:sz w:val="18"/>
          <w:szCs w:val="18"/>
          <w:color w:val="auto"/>
        </w:rPr>
        <w:t>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46" w:lineRule="exact"/>
        <w:rPr>
          <w:sz w:val="20"/>
          <w:szCs w:val="20"/>
          <w:color w:val="auto"/>
        </w:rPr>
      </w:pPr>
    </w:p>
    <w:p>
      <w:pPr>
        <w:ind w:left="280" w:right="40"/>
        <w:spacing w:after="0" w:line="273" w:lineRule="auto"/>
        <w:rPr>
          <w:sz w:val="20"/>
          <w:szCs w:val="20"/>
          <w:color w:val="auto"/>
        </w:rPr>
      </w:pPr>
      <w:r>
        <w:rPr>
          <w:rFonts w:ascii="Arial" w:cs="Arial" w:eastAsia="Arial" w:hAnsi="Arial"/>
          <w:sz w:val="17"/>
          <w:szCs w:val="17"/>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 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Product Candidates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Oral PTH Therapeutics</w:t>
      </w:r>
    </w:p>
    <w:p>
      <w:pPr>
        <w:spacing w:after="0" w:line="77" w:lineRule="exact"/>
        <w:rPr>
          <w:sz w:val="20"/>
          <w:szCs w:val="20"/>
          <w:color w:val="auto"/>
        </w:rPr>
      </w:pPr>
    </w:p>
    <w:p>
      <w:pPr>
        <w:ind w:left="280" w:right="60"/>
        <w:spacing w:after="0" w:line="290" w:lineRule="auto"/>
        <w:rPr>
          <w:sz w:val="20"/>
          <w:szCs w:val="20"/>
          <w:color w:val="auto"/>
        </w:rPr>
      </w:pPr>
      <w:r>
        <w:rPr>
          <w:rFonts w:ascii="Arial" w:cs="Arial" w:eastAsia="Arial" w:hAnsi="Arial"/>
          <w:sz w:val="16"/>
          <w:szCs w:val="16"/>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been approved for the treatment of hypoparathyroidism. We are developing a number of oral PTH (1-34) programs that can be used for a number of proposed indications. We believe that our oral PTH product candidates, if approved, have the potential to become the standard of care for patients with hypoparathyroidism, osteoporosis and non-union bone fractures.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EB612 for Hypoparathyroidism</w:t>
      </w:r>
    </w:p>
    <w:p>
      <w:pPr>
        <w:spacing w:after="0" w:line="63" w:lineRule="exact"/>
        <w:rPr>
          <w:sz w:val="20"/>
          <w:szCs w:val="20"/>
          <w:color w:val="auto"/>
        </w:rPr>
      </w:pPr>
    </w:p>
    <w:p>
      <w:pPr>
        <w:ind w:left="280" w:right="40"/>
        <w:spacing w:after="0" w:line="290" w:lineRule="auto"/>
        <w:rPr>
          <w:sz w:val="20"/>
          <w:szCs w:val="20"/>
          <w:color w:val="auto"/>
        </w:rPr>
      </w:pPr>
      <w:r>
        <w:rPr>
          <w:rFonts w:ascii="Arial" w:cs="Arial" w:eastAsia="Arial" w:hAnsi="Arial"/>
          <w:sz w:val="16"/>
          <w:szCs w:val="16"/>
          <w:color w:val="auto"/>
        </w:rPr>
        <w:t>Our lead product candidate, EB612, is an oral formulation of PTH (1-34). EB612 is a synthetic form of the first 34 amino acids of human PTH to which we have applied our proprietary technology for the oral delivery of large molecule therapeutics. In the third quarter of 2015, we successfully completed our Phase 2a trial. The end points in the trial were met, and 17 subjects completed the four-month trial and reported no serious or significant related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The FDA and EMA have granted EB612 orphan drug designation for the treatment of hypoparathyroidism. We intend to utilize future funds, as available, to prepare EB612 for advanced clinical studies and ultimately for regulatory approval.</w:t>
      </w:r>
    </w:p>
    <w:p>
      <w:pPr>
        <w:spacing w:after="0" w:line="45" w:lineRule="exact"/>
        <w:rPr>
          <w:sz w:val="20"/>
          <w:szCs w:val="20"/>
          <w:color w:val="auto"/>
        </w:rPr>
      </w:pPr>
    </w:p>
    <w:p>
      <w:pPr>
        <w:ind w:left="280" w:right="180"/>
        <w:spacing w:after="0" w:line="257" w:lineRule="auto"/>
        <w:rPr>
          <w:sz w:val="20"/>
          <w:szCs w:val="20"/>
          <w:color w:val="auto"/>
        </w:rPr>
      </w:pPr>
      <w:r>
        <w:rPr>
          <w:rFonts w:ascii="Arial" w:cs="Arial" w:eastAsia="Arial" w:hAnsi="Arial"/>
          <w:sz w:val="18"/>
          <w:szCs w:val="18"/>
          <w:color w:val="auto"/>
        </w:rPr>
        <w:t>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Acute hypocalcemia can result in cardiac failure, failure of nervous system functions and death. Hyperphosphatemia can result in soft tissue calcium deposition, which may lead to severe issues, including damage to the circulatory system and central nervous system.</w:t>
      </w:r>
    </w:p>
    <w:p>
      <w:pPr>
        <w:spacing w:after="0" w:line="53" w:lineRule="exact"/>
        <w:rPr>
          <w:sz w:val="20"/>
          <w:szCs w:val="20"/>
          <w:color w:val="auto"/>
        </w:rPr>
      </w:pPr>
    </w:p>
    <w:p>
      <w:pPr>
        <w:ind w:left="280"/>
        <w:spacing w:after="0" w:line="279" w:lineRule="auto"/>
        <w:rPr>
          <w:sz w:val="20"/>
          <w:szCs w:val="20"/>
          <w:color w:val="auto"/>
        </w:rPr>
      </w:pPr>
      <w:r>
        <w:rPr>
          <w:rFonts w:ascii="Arial" w:cs="Arial" w:eastAsia="Arial" w:hAnsi="Arial"/>
          <w:sz w:val="17"/>
          <w:szCs w:val="17"/>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w:t>
      </w:r>
    </w:p>
    <w:p>
      <w:pPr>
        <w:sectPr>
          <w:pgSz w:w="11900" w:h="16838" w:orient="portrait"/>
          <w:cols w:equalWidth="0" w:num="1">
            <w:col w:w="11120"/>
          </w:cols>
          <w:pgMar w:left="240" w:top="1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right="80"/>
        <w:spacing w:after="0" w:line="272" w:lineRule="auto"/>
        <w:rPr>
          <w:sz w:val="20"/>
          <w:szCs w:val="20"/>
          <w:color w:val="auto"/>
        </w:rPr>
      </w:pPr>
      <w:r>
        <w:rPr>
          <w:rFonts w:ascii="Arial" w:cs="Arial" w:eastAsia="Arial" w:hAnsi="Arial"/>
          <w:sz w:val="17"/>
          <w:szCs w:val="17"/>
          <w:color w:val="auto"/>
        </w:rPr>
        <w:t>If a product receives the first FDA approval for the indication for which it has orphan designation, the product is entitled to orphan drug exclusivity, which means that the FDA may not approve any other application to market the same drug for the same indication for a period of seven years, except in limited circumstances, such as a showing of clinical superiority over the product with orphan exclusivity. In January 2015, the FDA approved Natpara, an injectable form of PTH, for hypoparathyroidism, and awarded Natpara orphan drug exclusivity until January 23, 2022. In order for our biologics license application, or BLA, for EB612 to be approved by the FDA prior to this date, we will need to demonstrate that EB612 is clinically superior to Natpara in that it demonstrates greater effectiveness or safety than Natpara or that it otherwise makes a major contribution to patient care, which we believe we will be able to do.</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EB613 for Osteoporosis</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Osteoporosis</w:t>
      </w:r>
    </w:p>
    <w:p>
      <w:pPr>
        <w:spacing w:after="0" w:line="104" w:lineRule="exact"/>
        <w:rPr>
          <w:sz w:val="20"/>
          <w:szCs w:val="20"/>
          <w:color w:val="auto"/>
        </w:rPr>
      </w:pPr>
    </w:p>
    <w:p>
      <w:pPr>
        <w:ind w:left="280" w:right="200"/>
        <w:spacing w:after="0" w:line="279" w:lineRule="auto"/>
        <w:rPr>
          <w:sz w:val="20"/>
          <w:szCs w:val="20"/>
          <w:color w:val="auto"/>
        </w:rPr>
      </w:pPr>
      <w:r>
        <w:rPr>
          <w:rFonts w:ascii="Arial" w:cs="Arial" w:eastAsia="Arial" w:hAnsi="Arial"/>
          <w:sz w:val="17"/>
          <w:szCs w:val="17"/>
          <w:color w:val="auto"/>
        </w:rPr>
        <w:t>We are also developing an additional but similar oral PTH product candidate, EB613, for the treatment of osteoporosis. Our intent is to seek FDA guidance on our proposed clinical trial design as part of a Pre-IND meeting in the second half of 2018. Based on the responses from the FDA, we intend to conduct a dose finding Phase 2a study of EB613 in osteoporosis in approximately 150 patients. Following this Phase 2a trial, we intend to design and execute pivotal trial(s) in osteoporosis patients guided by the feedback of the FDA.</w:t>
      </w:r>
    </w:p>
    <w:p>
      <w:pPr>
        <w:spacing w:after="0" w:line="63" w:lineRule="exact"/>
        <w:rPr>
          <w:sz w:val="20"/>
          <w:szCs w:val="20"/>
          <w:color w:val="auto"/>
        </w:rPr>
      </w:pPr>
    </w:p>
    <w:p>
      <w:pPr>
        <w:ind w:left="280"/>
        <w:spacing w:after="0" w:line="273" w:lineRule="auto"/>
        <w:rPr>
          <w:sz w:val="20"/>
          <w:szCs w:val="20"/>
          <w:color w:val="auto"/>
        </w:rPr>
      </w:pPr>
      <w:r>
        <w:rPr>
          <w:rFonts w:ascii="Arial" w:cs="Arial" w:eastAsia="Arial" w:hAnsi="Arial"/>
          <w:sz w:val="17"/>
          <w:szCs w:val="17"/>
          <w:color w:val="auto"/>
        </w:rPr>
        <w:t>Osteoporosis is a systemic skeletal disease characterized by low bone mass, deterioration of bone tissue and increased bone fragility and susceptibility to fracture. 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due to the use of drugs that induce bone loss, such as chronic use of glucocorticoids and aromatase inhibitors that are increasingly used for breast cancer and the hormone therapies used for prostate cancer.</w:t>
      </w:r>
    </w:p>
    <w:p>
      <w:pPr>
        <w:spacing w:after="0" w:line="70" w:lineRule="exact"/>
        <w:rPr>
          <w:sz w:val="20"/>
          <w:szCs w:val="20"/>
          <w:color w:val="auto"/>
        </w:rPr>
      </w:pPr>
    </w:p>
    <w:p>
      <w:pPr>
        <w:ind w:left="280"/>
        <w:spacing w:after="0" w:line="271" w:lineRule="auto"/>
        <w:rPr>
          <w:sz w:val="20"/>
          <w:szCs w:val="20"/>
          <w:color w:val="auto"/>
        </w:rPr>
      </w:pPr>
      <w:r>
        <w:rPr>
          <w:rFonts w:ascii="Arial" w:cs="Arial" w:eastAsia="Arial" w:hAnsi="Arial"/>
          <w:sz w:val="17"/>
          <w:szCs w:val="17"/>
          <w:color w:val="auto"/>
        </w:rPr>
        <w:t>The NOF has estimated that 10 million people in the United States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108" w:lineRule="exact"/>
        <w:rPr>
          <w:sz w:val="20"/>
          <w:szCs w:val="20"/>
          <w:color w:val="auto"/>
        </w:rPr>
      </w:pPr>
    </w:p>
    <w:p>
      <w:pPr>
        <w:ind w:left="280" w:right="20"/>
        <w:spacing w:after="0" w:line="270" w:lineRule="auto"/>
        <w:rPr>
          <w:sz w:val="20"/>
          <w:szCs w:val="20"/>
          <w:color w:val="auto"/>
        </w:rPr>
      </w:pPr>
      <w:r>
        <w:rPr>
          <w:rFonts w:ascii="Arial" w:cs="Arial" w:eastAsia="Arial" w:hAnsi="Arial"/>
          <w:sz w:val="17"/>
          <w:szCs w:val="17"/>
          <w:color w:val="auto"/>
        </w:rPr>
        <w:t>We intend to use our technology as a platform for the oral delivery of protein and other large molecule therapeutics. We have conducted initial feasibility studies with a number of candidates, including human growth hormone, and intend to commence clinical development for our next, non-PTH, product candidate in the future.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w:t>
      </w:r>
    </w:p>
    <w:p>
      <w:pPr>
        <w:sectPr>
          <w:pgSz w:w="11900" w:h="16838" w:orient="portrait"/>
          <w:cols w:equalWidth="0" w:num="1">
            <w:col w:w="11100"/>
          </w:cols>
          <w:pgMar w:left="24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right="160"/>
        <w:spacing w:after="0" w:line="264" w:lineRule="auto"/>
        <w:rPr>
          <w:sz w:val="20"/>
          <w:szCs w:val="20"/>
          <w:color w:val="auto"/>
        </w:rPr>
      </w:pPr>
      <w:r>
        <w:rPr>
          <w:rFonts w:ascii="Arial" w:cs="Arial" w:eastAsia="Arial" w:hAnsi="Arial"/>
          <w:sz w:val="18"/>
          <w:szCs w:val="18"/>
          <w:color w:val="auto"/>
        </w:rPr>
        <w:t>upon the illness. We are also considering whether to partner the development of any such additional product candidates and are in early stage discussions with a number of external parties. For instance, we may choose to license our technology to external parties for the development of non-PTH product candidates.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Bone Healing/Non-union Fractures</w:t>
      </w:r>
    </w:p>
    <w:p>
      <w:pPr>
        <w:spacing w:after="0" w:line="104" w:lineRule="exact"/>
        <w:rPr>
          <w:sz w:val="20"/>
          <w:szCs w:val="20"/>
          <w:color w:val="auto"/>
        </w:rPr>
      </w:pPr>
    </w:p>
    <w:p>
      <w:pPr>
        <w:jc w:val="both"/>
        <w:ind w:left="280"/>
        <w:spacing w:after="0" w:line="297" w:lineRule="auto"/>
        <w:rPr>
          <w:sz w:val="20"/>
          <w:szCs w:val="20"/>
          <w:color w:val="auto"/>
        </w:rPr>
      </w:pPr>
      <w:r>
        <w:rPr>
          <w:rFonts w:ascii="Arial" w:cs="Arial" w:eastAsia="Arial" w:hAnsi="Arial"/>
          <w:sz w:val="16"/>
          <w:szCs w:val="16"/>
          <w:color w:val="auto"/>
        </w:rPr>
        <w:t>We intend to investigate the efficacy of our oral PTH product candidates for non-union bone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50" w:lineRule="exact"/>
        <w:rPr>
          <w:sz w:val="20"/>
          <w:szCs w:val="20"/>
          <w:color w:val="auto"/>
        </w:rPr>
      </w:pPr>
    </w:p>
    <w:p>
      <w:pPr>
        <w:ind w:left="280" w:right="20"/>
        <w:spacing w:after="0" w:line="257" w:lineRule="auto"/>
        <w:rPr>
          <w:sz w:val="20"/>
          <w:szCs w:val="20"/>
          <w:color w:val="auto"/>
        </w:rPr>
      </w:pPr>
      <w:r>
        <w:rPr>
          <w:rFonts w:ascii="Arial" w:cs="Arial" w:eastAsia="Arial" w:hAnsi="Arial"/>
          <w:sz w:val="18"/>
          <w:szCs w:val="18"/>
          <w:color w:val="auto"/>
        </w:rPr>
        <w:t>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 In the United States, there are approximately seven million new fractures each year, with approximately 300,000 delayed union or non-union fractures. Estimates for the average non-union treatment costs vary from approximately $25,000 to $45,000.</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Chief Medical Officer Appointment</w:t>
      </w:r>
    </w:p>
    <w:p>
      <w:pPr>
        <w:spacing w:after="0" w:line="104"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On January 10, 2018, the Company appointed Eric Lang, MD, as the Company’s Chief Medical Officer, effective January 15, 2018. Dr. Lang replaced Dr. Miriam Blum, who had served as the Company’s Chief Medical Officer since January 2015. As the Company’s Chief Medical Officer, Dr. Lang will be responsible for building and leading our clinical development group, as well as all aspects (including strategy and implementation) of the Company’s clinical development and regulatory strategy.</w:t>
      </w:r>
    </w:p>
    <w:p>
      <w:pPr>
        <w:spacing w:after="0" w:line="79" w:lineRule="exact"/>
        <w:rPr>
          <w:sz w:val="20"/>
          <w:szCs w:val="20"/>
          <w:color w:val="auto"/>
        </w:rPr>
      </w:pPr>
    </w:p>
    <w:p>
      <w:pPr>
        <w:ind w:left="280" w:right="160"/>
        <w:spacing w:after="0" w:line="255" w:lineRule="auto"/>
        <w:rPr>
          <w:sz w:val="20"/>
          <w:szCs w:val="20"/>
          <w:color w:val="auto"/>
        </w:rPr>
      </w:pPr>
      <w:r>
        <w:rPr>
          <w:rFonts w:ascii="Arial" w:cs="Arial" w:eastAsia="Arial" w:hAnsi="Arial"/>
          <w:sz w:val="18"/>
          <w:szCs w:val="18"/>
          <w:color w:val="auto"/>
        </w:rPr>
        <w:t>Dr. Lang has extensive experience in designing drug development programs from early stages through phase III, including the successful filing of several recent INDs and NDAs. From 2012 to 2017, Dr. Lang worked at Covance, Inc., most recently as the Vice President and Global Head of Clinical Drug Development Strategists. From 2010 to 2011, Dr. Lang worked at Grunenthal USA Inc. where he acted as Vice President, US Clinical Development. Prior to these positions, Dr. Lang worked at both Javelin Pharmaceuticals, Novartis Consumer Health and Johnson and Johnson. He received his M.D. from Ben Gurion University of the Negev in Israel, is licensed in both the United States and Israel and is board certified as an Anesthesiologist.</w:t>
      </w:r>
    </w:p>
    <w:p>
      <w:pPr>
        <w:spacing w:after="0" w:line="85" w:lineRule="exact"/>
        <w:rPr>
          <w:sz w:val="20"/>
          <w:szCs w:val="20"/>
          <w:color w:val="auto"/>
        </w:rPr>
      </w:pPr>
    </w:p>
    <w:p>
      <w:pPr>
        <w:jc w:val="both"/>
        <w:ind w:left="280" w:right="100"/>
        <w:spacing w:after="0" w:line="264" w:lineRule="auto"/>
        <w:rPr>
          <w:sz w:val="20"/>
          <w:szCs w:val="20"/>
          <w:color w:val="auto"/>
        </w:rPr>
      </w:pPr>
      <w:r>
        <w:rPr>
          <w:rFonts w:ascii="Arial" w:cs="Arial" w:eastAsia="Arial" w:hAnsi="Arial"/>
          <w:sz w:val="18"/>
          <w:szCs w:val="18"/>
          <w:color w:val="auto"/>
        </w:rPr>
        <w:t>In connection with Dr. Lang’s appointment as the Company’s new Chief Medical Officer, the Company’s Board of Directors approved an increase to the available pool of ordinary shares reserved under the Company’s current share incentive plan and granted Dr. Lang options to purchase 110,500 of our ordinary shares at an exercise price of $6.30 per share.</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280" w:right="100"/>
        <w:spacing w:after="0" w:line="259" w:lineRule="auto"/>
        <w:rPr>
          <w:sz w:val="20"/>
          <w:szCs w:val="20"/>
          <w:color w:val="auto"/>
        </w:rPr>
      </w:pPr>
      <w:r>
        <w:rPr>
          <w:rFonts w:ascii="Arial" w:cs="Arial" w:eastAsia="Arial" w:hAnsi="Arial"/>
          <w:sz w:val="18"/>
          <w:szCs w:val="18"/>
          <w:color w:val="auto"/>
        </w:rPr>
        <w:t>Investing in our ordinary shares and warrants involves risks. You should carefully consider the risks described in “Risk Factors” before making a decision to invest in our ordinary shares and warrants.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ectPr>
          <w:pgSz w:w="11900" w:h="16838" w:orient="portrait"/>
          <w:cols w:equalWidth="0" w:num="1">
            <w:col w:w="11120"/>
          </w:cols>
          <w:pgMar w:left="240" w:top="1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60"/>
          </w:cols>
          <w:pgMar w:left="24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1000" w:right="580" w:hanging="362"/>
        <w:spacing w:after="0" w:line="26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whether we will be able to demonstrate to regulators the clinical superiority of EB612 over Natpara, which is required to overcome Natpara’s drug exclusivity;</w:t>
      </w:r>
    </w:p>
    <w:p>
      <w:pPr>
        <w:spacing w:after="0" w:line="73" w:lineRule="exact"/>
        <w:rPr>
          <w:rFonts w:ascii="Arial" w:cs="Arial" w:eastAsia="Arial" w:hAnsi="Arial"/>
          <w:sz w:val="18"/>
          <w:szCs w:val="18"/>
          <w:color w:val="auto"/>
        </w:rPr>
      </w:pPr>
    </w:p>
    <w:p>
      <w:pPr>
        <w:ind w:left="1000" w:right="940" w:hanging="362"/>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 if EB612 is approved, especially with respect to Natpara, our key competitor for hypoparathyroidism treatment;</w:t>
      </w:r>
    </w:p>
    <w:p>
      <w:pPr>
        <w:spacing w:after="0" w:line="62" w:lineRule="exact"/>
        <w:rPr>
          <w:rFonts w:ascii="Arial" w:cs="Arial" w:eastAsia="Arial" w:hAnsi="Arial"/>
          <w:sz w:val="18"/>
          <w:szCs w:val="18"/>
          <w:color w:val="auto"/>
        </w:rPr>
      </w:pPr>
    </w:p>
    <w:p>
      <w:pPr>
        <w:ind w:left="1000" w:right="520" w:hanging="362"/>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recurring losses from operations, which have raised substantial doubt regarding our ability to continue as a going concern absent access to sources of liquidity;</w:t>
      </w:r>
    </w:p>
    <w:p>
      <w:pPr>
        <w:spacing w:after="0" w:line="62"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of and reimbursement for our product candidates, if approved;</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 and compliance therewith;</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reliance on third parties to conduct our clinical trials and on third-party suppliers to supply or produce our product candidates;</w:t>
      </w:r>
    </w:p>
    <w:p>
      <w:pPr>
        <w:spacing w:after="0" w:line="128" w:lineRule="exact"/>
        <w:rPr>
          <w:rFonts w:ascii="Arial" w:cs="Arial" w:eastAsia="Arial" w:hAnsi="Arial"/>
          <w:sz w:val="17"/>
          <w:szCs w:val="17"/>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30"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117" w:lineRule="exact"/>
        <w:rPr>
          <w:rFonts w:ascii="Arial" w:cs="Arial" w:eastAsia="Arial" w:hAnsi="Arial"/>
          <w:sz w:val="18"/>
          <w:szCs w:val="18"/>
          <w:color w:val="auto"/>
        </w:rPr>
      </w:pPr>
    </w:p>
    <w:p>
      <w:pPr>
        <w:ind w:left="1000" w:hanging="36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280"/>
        <w:spacing w:after="0" w:line="302" w:lineRule="auto"/>
        <w:rPr>
          <w:sz w:val="20"/>
          <w:szCs w:val="20"/>
          <w:color w:val="auto"/>
        </w:rPr>
      </w:pPr>
      <w:r>
        <w:rPr>
          <w:rFonts w:ascii="Arial" w:cs="Arial" w:eastAsia="Arial" w:hAnsi="Arial"/>
          <w:sz w:val="16"/>
          <w:szCs w:val="16"/>
          <w:color w:val="auto"/>
        </w:rPr>
        <w:t>Our legal and commercial name is Entera Bio Ltd. We were incorporated in Israel in September 2009. Our principal executive offices are located at Kiryat Hadassah, Minrav Building — Fifth Floor, Jerusalem 9112002, Israel and our telephone number is +972 (2) 532-7151. Our website address is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trademarks or service marks appearing in this prospectus are trademarks or service marks of others.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08" w:lineRule="exact"/>
        <w:rPr>
          <w:sz w:val="20"/>
          <w:szCs w:val="20"/>
          <w:color w:val="auto"/>
        </w:rPr>
      </w:pPr>
    </w:p>
    <w:p>
      <w:pPr>
        <w:ind w:left="280" w:right="60"/>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73" w:lineRule="exact"/>
        <w:rPr>
          <w:sz w:val="20"/>
          <w:szCs w:val="20"/>
          <w:color w:val="auto"/>
        </w:rPr>
      </w:pPr>
    </w:p>
    <w:p>
      <w:pPr>
        <w:ind w:left="1000" w:right="760" w:hanging="362"/>
        <w:spacing w:after="0" w:line="30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requirement to have only two years of audited financial statements and only two years of related Management’s Discussion and Analysis of Financial Condition and Results of Operations disclosure in its initial registration statement;</w:t>
      </w:r>
    </w:p>
    <w:p>
      <w:pPr>
        <w:spacing w:after="0" w:line="38" w:lineRule="exact"/>
        <w:rPr>
          <w:rFonts w:ascii="Arial" w:cs="Arial" w:eastAsia="Arial" w:hAnsi="Arial"/>
          <w:sz w:val="17"/>
          <w:szCs w:val="17"/>
          <w:color w:val="auto"/>
        </w:rPr>
      </w:pPr>
    </w:p>
    <w:p>
      <w:pPr>
        <w:ind w:left="1000" w:right="380" w:hanging="362"/>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ectPr>
          <w:pgSz w:w="11900" w:h="16838" w:orient="portrait"/>
          <w:cols w:equalWidth="0" w:num="1">
            <w:col w:w="11060"/>
          </w:cols>
          <w:pgMar w:left="24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32" w:right="599"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000" w:right="520" w:hanging="362"/>
        <w:spacing w:after="0" w:line="26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or PCAOB, may adopt regarding mandatory audit firm rotation or a supplement to the auditor’s report providing additional information about the audit and the financial statements; and</w:t>
      </w:r>
    </w:p>
    <w:p>
      <w:pPr>
        <w:spacing w:after="0" w:line="140" w:lineRule="exact"/>
        <w:rPr>
          <w:rFonts w:ascii="Arial" w:cs="Arial" w:eastAsia="Arial" w:hAnsi="Arial"/>
          <w:sz w:val="18"/>
          <w:szCs w:val="18"/>
          <w:color w:val="auto"/>
        </w:rPr>
      </w:pPr>
    </w:p>
    <w:p>
      <w:pPr>
        <w:ind w:left="1000" w:right="400" w:hanging="362"/>
        <w:spacing w:after="0" w:line="26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about the company’s executive compensation arrangements, and (2) exemptions from the requirements to obtain a non-binding advisory vote on executive compensation or a shareholder approval of any golden parachute arrangements.</w:t>
      </w:r>
    </w:p>
    <w:p>
      <w:pPr>
        <w:spacing w:after="0" w:line="73" w:lineRule="exact"/>
        <w:rPr>
          <w:sz w:val="20"/>
          <w:szCs w:val="20"/>
          <w:color w:val="auto"/>
        </w:rPr>
      </w:pPr>
    </w:p>
    <w:p>
      <w:pPr>
        <w:ind w:left="280" w:right="100"/>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79" w:lineRule="exact"/>
        <w:rPr>
          <w:sz w:val="20"/>
          <w:szCs w:val="20"/>
          <w:color w:val="auto"/>
        </w:rPr>
      </w:pPr>
    </w:p>
    <w:p>
      <w:pPr>
        <w:ind w:left="280"/>
        <w:spacing w:after="0" w:line="276"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64" w:lineRule="exact"/>
        <w:rPr>
          <w:sz w:val="20"/>
          <w:szCs w:val="20"/>
          <w:color w:val="auto"/>
        </w:rPr>
      </w:pPr>
    </w:p>
    <w:p>
      <w:pPr>
        <w:ind w:left="280" w:right="40"/>
        <w:spacing w:after="0" w:line="259" w:lineRule="auto"/>
        <w:rPr>
          <w:sz w:val="20"/>
          <w:szCs w:val="20"/>
          <w:color w:val="auto"/>
        </w:rPr>
      </w:pPr>
      <w:r>
        <w:rPr>
          <w:rFonts w:ascii="Arial" w:cs="Arial" w:eastAsia="Arial" w:hAnsi="Arial"/>
          <w:sz w:val="18"/>
          <w:szCs w:val="18"/>
          <w:color w:val="auto"/>
        </w:rPr>
        <w:t>Upon consummation of this offering, we will report under the Securities Exchange Act of 1934, as amended, or the Exchange Act, as a non-U.S. company with foreign private issuer, or FPI, status. Even after we no longer qualify as an emerging growth company, as long as we qualify as an FPI under the Exchange Act, we will be exempt from certain provisions of the Exchange Act that are applicable to U.S. domestic public companies, including:</w:t>
      </w:r>
    </w:p>
    <w:p>
      <w:pPr>
        <w:spacing w:after="0" w:line="160" w:lineRule="exact"/>
        <w:rPr>
          <w:sz w:val="20"/>
          <w:szCs w:val="20"/>
          <w:color w:val="auto"/>
        </w:rPr>
      </w:pPr>
    </w:p>
    <w:p>
      <w:pPr>
        <w:ind w:left="1000" w:right="620" w:hanging="362"/>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29" w:lineRule="exact"/>
        <w:rPr>
          <w:rFonts w:ascii="Arial" w:cs="Arial" w:eastAsia="Arial" w:hAnsi="Arial"/>
          <w:sz w:val="18"/>
          <w:szCs w:val="18"/>
          <w:color w:val="auto"/>
        </w:rPr>
      </w:pPr>
    </w:p>
    <w:p>
      <w:pPr>
        <w:ind w:left="1000" w:right="600" w:hanging="362"/>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29" w:lineRule="exact"/>
        <w:rPr>
          <w:rFonts w:ascii="Arial" w:cs="Arial" w:eastAsia="Arial" w:hAnsi="Arial"/>
          <w:sz w:val="18"/>
          <w:szCs w:val="18"/>
          <w:color w:val="auto"/>
        </w:rPr>
      </w:pPr>
    </w:p>
    <w:p>
      <w:pPr>
        <w:ind w:left="1000" w:right="520" w:hanging="362"/>
        <w:spacing w:after="0" w:line="264"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 and</w:t>
      </w:r>
    </w:p>
    <w:p>
      <w:pPr>
        <w:spacing w:after="0" w:line="140" w:lineRule="exact"/>
        <w:rPr>
          <w:rFonts w:ascii="Arial" w:cs="Arial" w:eastAsia="Arial" w:hAnsi="Arial"/>
          <w:sz w:val="18"/>
          <w:szCs w:val="18"/>
          <w:color w:val="auto"/>
        </w:rPr>
      </w:pPr>
    </w:p>
    <w:p>
      <w:pPr>
        <w:ind w:left="1000" w:hanging="362"/>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Fair Disclosure, or Regulation FD, which regulates selective disclosures of material information by issuers.</w:t>
      </w:r>
    </w:p>
    <w:p>
      <w:pPr>
        <w:spacing w:after="0" w:line="117" w:lineRule="exact"/>
        <w:rPr>
          <w:sz w:val="20"/>
          <w:szCs w:val="20"/>
          <w:color w:val="auto"/>
        </w:rPr>
      </w:pPr>
    </w:p>
    <w:p>
      <w:pPr>
        <w:ind w:left="280" w:right="120"/>
        <w:spacing w:after="0" w:line="277" w:lineRule="auto"/>
        <w:rPr>
          <w:sz w:val="20"/>
          <w:szCs w:val="20"/>
          <w:color w:val="auto"/>
        </w:rPr>
      </w:pPr>
      <w:r>
        <w:rPr>
          <w:rFonts w:ascii="Arial" w:cs="Arial" w:eastAsia="Arial" w:hAnsi="Arial"/>
          <w:sz w:val="18"/>
          <w:szCs w:val="18"/>
          <w:color w:val="auto"/>
        </w:rPr>
        <w:t>We do, however, intend to make available to our shareholders quarterly reports containing unaudited financial information for each of the first three quarters of each fiscal year.</w:t>
      </w:r>
    </w:p>
    <w:p>
      <w:pPr>
        <w:sectPr>
          <w:pgSz w:w="11900" w:h="16838" w:orient="portrait"/>
          <w:cols w:equalWidth="0" w:num="1">
            <w:col w:w="11040"/>
          </w:cols>
          <w:pgMar w:left="240" w:top="131"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right="1120" w:hanging="179"/>
        <w:spacing w:after="0" w:line="277" w:lineRule="auto"/>
        <w:rPr>
          <w:sz w:val="20"/>
          <w:szCs w:val="20"/>
          <w:color w:val="auto"/>
        </w:rPr>
      </w:pPr>
      <w:r>
        <w:rPr>
          <w:rFonts w:ascii="Arial" w:cs="Arial" w:eastAsia="Arial" w:hAnsi="Arial"/>
          <w:sz w:val="18"/>
          <w:szCs w:val="18"/>
          <w:color w:val="auto"/>
        </w:rPr>
        <w:t>Ordinary shares offered by us and included in the Units</w:t>
      </w:r>
    </w:p>
    <w:p>
      <w:pPr>
        <w:spacing w:after="0" w:line="279" w:lineRule="exact"/>
        <w:rPr>
          <w:sz w:val="20"/>
          <w:szCs w:val="20"/>
          <w:color w:val="auto"/>
        </w:rPr>
      </w:pPr>
    </w:p>
    <w:p>
      <w:pPr>
        <w:ind w:left="460" w:right="760" w:hanging="179"/>
        <w:spacing w:after="0" w:line="277" w:lineRule="auto"/>
        <w:rPr>
          <w:sz w:val="20"/>
          <w:szCs w:val="20"/>
          <w:color w:val="auto"/>
        </w:rPr>
      </w:pPr>
      <w:r>
        <w:rPr>
          <w:rFonts w:ascii="Arial" w:cs="Arial" w:eastAsia="Arial" w:hAnsi="Arial"/>
          <w:sz w:val="18"/>
          <w:szCs w:val="18"/>
          <w:color w:val="auto"/>
        </w:rPr>
        <w:t>Ordinary shares to be outstanding after this offering</w:t>
      </w:r>
    </w:p>
    <w:p>
      <w:pPr>
        <w:spacing w:after="0" w:line="200" w:lineRule="exact"/>
        <w:rPr>
          <w:sz w:val="20"/>
          <w:szCs w:val="20"/>
          <w:color w:val="auto"/>
        </w:rPr>
      </w:pPr>
    </w:p>
    <w:p>
      <w:pPr>
        <w:spacing w:after="0" w:line="295" w:lineRule="exact"/>
        <w:rPr>
          <w:sz w:val="20"/>
          <w:szCs w:val="20"/>
          <w:color w:val="auto"/>
        </w:rPr>
      </w:pPr>
    </w:p>
    <w:p>
      <w:pPr>
        <w:ind w:left="460" w:right="780" w:hanging="179"/>
        <w:spacing w:after="0" w:line="277" w:lineRule="auto"/>
        <w:rPr>
          <w:sz w:val="20"/>
          <w:szCs w:val="20"/>
          <w:color w:val="auto"/>
        </w:rPr>
      </w:pPr>
      <w:r>
        <w:rPr>
          <w:rFonts w:ascii="Arial" w:cs="Arial" w:eastAsia="Arial" w:hAnsi="Arial"/>
          <w:sz w:val="18"/>
          <w:szCs w:val="18"/>
          <w:color w:val="auto"/>
        </w:rPr>
        <w:t>Warrants offered by us and included in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60" w:right="1000" w:hanging="179"/>
        <w:spacing w:after="0" w:line="264" w:lineRule="auto"/>
        <w:rPr>
          <w:sz w:val="20"/>
          <w:szCs w:val="20"/>
          <w:color w:val="auto"/>
        </w:rPr>
      </w:pPr>
      <w:r>
        <w:rPr>
          <w:rFonts w:ascii="Arial" w:cs="Arial" w:eastAsia="Arial" w:hAnsi="Arial"/>
          <w:sz w:val="18"/>
          <w:szCs w:val="18"/>
          <w:color w:val="auto"/>
        </w:rPr>
        <w:t>Over-allotment option to purchase additional ordinary shares and/or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ordinary shares and warrants will be sold in units, with each unit consisting of one ordinary share and one warrant to purchase 0.5 of an ordinary share. The ordinary shares and warrants are immediately separable and will be issued separately, and are expected to trade separately following the effectiveness of the registration statement for this offering.</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1,333,334 ordinary shares (or 1,533,334 ordinary shares if the underwriters exercise in full their option to purchase additional ordinary shares)</w:t>
      </w:r>
    </w:p>
    <w:p>
      <w:pPr>
        <w:spacing w:after="0" w:line="2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11,361,654 ordinary shares (or 11,561,654 ordinary shares if the underwriters exercise in full their option to purchase additional ordinary shares), in each case including 10,000 ordinary shares to be issued to the representative upon the closing of this offering).</w:t>
      </w:r>
    </w:p>
    <w:p>
      <w:pPr>
        <w:spacing w:after="0" w:line="25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1,333,334 warrants, with each warrant exercisable for 0.5 of an ordinary share (or 1,533,334 warrants if the underwriters exercise in full their option to purchase additional warrants) at an initial exercise price of $11.25 per ordinary share (which is 125% of the assumed initial public offering price per unit), subject to adjustments as described herein. The warrants will be exercisable upon issuance and will expire five years after issuance, unless earlier repurchased by us or subject to early expiration as described herein. See “Description of Warrants.” We are also offering the ordinary shares that are issuable upon the exercise of the warrants offered pursuant to this prospectus.</w:t>
      </w:r>
    </w:p>
    <w:p>
      <w:pPr>
        <w:spacing w:after="0" w:line="200" w:lineRule="exact"/>
        <w:rPr>
          <w:sz w:val="20"/>
          <w:szCs w:val="20"/>
          <w:color w:val="auto"/>
        </w:rPr>
      </w:pPr>
    </w:p>
    <w:p>
      <w:pPr>
        <w:spacing w:after="0" w:line="2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underwriters have an option to purchase up to 200,000 additional ordinary shares and/or 200,000 additional warrants to purchase up to a total of 100,000 ordinary shares from us to cover over allotments, if any. The underwriters can exercise this option at any time and from time to time within 30 days from the date of this prospectus. The public offering price per unit corresponds to a public offering price per ordinary share of $8.99 and a public offering price per warrant of $0.01, which together constitute the midpoint of the estimated offering price range on the cover of this prospectus.</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estimate that we will receive net proceeds of approximately $10.00 million from our sale of units in this offering, after deducting the estimated underwriting discount and the estimated offering expenses payable by us. This assumes an offering price of $9.00 per unit, which is the midpoint of the estimated offering price range on the cover page of this prospectus. We intend to use the net proceeds from this offering, together with $9.2 million of cash and cash equivalents on hand as of March 31, 2018, as follows:</w:t>
      </w:r>
    </w:p>
    <w:p>
      <w:pPr>
        <w:spacing w:after="0" w:line="200" w:lineRule="exact"/>
        <w:rPr>
          <w:sz w:val="20"/>
          <w:szCs w:val="20"/>
          <w:color w:val="auto"/>
        </w:rPr>
      </w:pPr>
    </w:p>
    <w:p>
      <w:pPr>
        <w:sectPr>
          <w:pgSz w:w="11900" w:h="16838" w:orient="portrait"/>
          <w:cols w:equalWidth="0" w:num="2">
            <w:col w:w="3840" w:space="720"/>
            <w:col w:w="658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60"/>
          </w:cols>
          <w:pgMar w:left="24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6240" w:type="dxa"/>
            <w:vAlign w:val="bottom"/>
          </w:tcPr>
          <w:p>
            <w:pPr>
              <w:ind w:left="140"/>
              <w:spacing w:after="0"/>
              <w:rPr>
                <w:sz w:val="20"/>
                <w:szCs w:val="20"/>
                <w:color w:val="auto"/>
              </w:rPr>
            </w:pPr>
            <w:r>
              <w:rPr>
                <w:rFonts w:ascii="Arial" w:cs="Arial" w:eastAsia="Arial" w:hAnsi="Arial"/>
                <w:sz w:val="18"/>
                <w:szCs w:val="18"/>
                <w:color w:val="auto"/>
                <w:w w:val="92"/>
              </w:rPr>
              <w:t>approximately $8.5 million to fund research and development expenses of our oral</w:t>
            </w:r>
          </w:p>
        </w:tc>
      </w:tr>
      <w:tr>
        <w:trPr>
          <w:trHeight w:val="216"/>
        </w:trPr>
        <w:tc>
          <w:tcPr>
            <w:tcW w:w="2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w w:val="93"/>
              </w:rPr>
              <w:t>PTH candidate, EB612 required to conduct and complete the preparatory work for</w:t>
            </w:r>
          </w:p>
        </w:tc>
      </w:tr>
      <w:tr>
        <w:trPr>
          <w:trHeight w:val="230"/>
        </w:trPr>
        <w:tc>
          <w:tcPr>
            <w:tcW w:w="2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our planned Phase 2b/3 trial related to hypoparathyroidism;</w:t>
            </w:r>
          </w:p>
        </w:tc>
      </w:tr>
      <w:tr>
        <w:trPr>
          <w:trHeight w:val="310"/>
        </w:trPr>
        <w:tc>
          <w:tcPr>
            <w:tcW w:w="2760" w:type="dxa"/>
            <w:vAlign w:val="bottom"/>
          </w:tcPr>
          <w:p>
            <w:pPr>
              <w:spacing w:after="0"/>
              <w:rPr>
                <w:sz w:val="24"/>
                <w:szCs w:val="24"/>
                <w:color w:val="auto"/>
              </w:rPr>
            </w:pP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6240" w:type="dxa"/>
            <w:vAlign w:val="bottom"/>
          </w:tcPr>
          <w:p>
            <w:pPr>
              <w:ind w:left="140"/>
              <w:spacing w:after="0"/>
              <w:rPr>
                <w:sz w:val="20"/>
                <w:szCs w:val="20"/>
                <w:color w:val="auto"/>
              </w:rPr>
            </w:pPr>
            <w:r>
              <w:rPr>
                <w:rFonts w:ascii="Arial" w:cs="Arial" w:eastAsia="Arial" w:hAnsi="Arial"/>
                <w:sz w:val="18"/>
                <w:szCs w:val="18"/>
                <w:color w:val="auto"/>
                <w:w w:val="92"/>
              </w:rPr>
              <w:t>approximately $7.0 million to fund research and development expenses of our oral</w:t>
            </w:r>
          </w:p>
        </w:tc>
      </w:tr>
      <w:tr>
        <w:trPr>
          <w:trHeight w:val="216"/>
        </w:trPr>
        <w:tc>
          <w:tcPr>
            <w:tcW w:w="2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w w:val="93"/>
              </w:rPr>
              <w:t>PTH candidate, EB613 required to conduct our planned Phase 2a study related to</w:t>
            </w:r>
          </w:p>
        </w:tc>
      </w:tr>
      <w:tr>
        <w:trPr>
          <w:trHeight w:val="230"/>
        </w:trPr>
        <w:tc>
          <w:tcPr>
            <w:tcW w:w="2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8"/>
                <w:szCs w:val="18"/>
                <w:color w:val="auto"/>
              </w:rPr>
              <w:t>osteoporosis; and</w:t>
            </w:r>
          </w:p>
        </w:tc>
      </w:tr>
      <w:tr>
        <w:trPr>
          <w:trHeight w:val="311"/>
        </w:trPr>
        <w:tc>
          <w:tcPr>
            <w:tcW w:w="2760" w:type="dxa"/>
            <w:vAlign w:val="bottom"/>
          </w:tcPr>
          <w:p>
            <w:pPr>
              <w:spacing w:after="0"/>
              <w:rPr>
                <w:sz w:val="24"/>
                <w:szCs w:val="24"/>
                <w:color w:val="auto"/>
              </w:rPr>
            </w:pP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6240" w:type="dxa"/>
            <w:vAlign w:val="bottom"/>
          </w:tcPr>
          <w:p>
            <w:pPr>
              <w:ind w:left="140"/>
              <w:spacing w:after="0"/>
              <w:rPr>
                <w:sz w:val="20"/>
                <w:szCs w:val="20"/>
                <w:color w:val="auto"/>
              </w:rPr>
            </w:pPr>
            <w:r>
              <w:rPr>
                <w:rFonts w:ascii="Arial" w:cs="Arial" w:eastAsia="Arial" w:hAnsi="Arial"/>
                <w:sz w:val="18"/>
                <w:szCs w:val="18"/>
                <w:color w:val="auto"/>
              </w:rPr>
              <w:t>the remainder for working capital and general corporate purposes.</w:t>
            </w:r>
          </w:p>
        </w:tc>
      </w:tr>
      <w:tr>
        <w:trPr>
          <w:trHeight w:val="324"/>
        </w:trPr>
        <w:tc>
          <w:tcPr>
            <w:tcW w:w="2760" w:type="dxa"/>
            <w:vAlign w:val="bottom"/>
          </w:tcPr>
          <w:p>
            <w:pPr>
              <w:spacing w:after="0"/>
              <w:rPr>
                <w:sz w:val="24"/>
                <w:szCs w:val="24"/>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rPr>
              <w:t>See “Use of Proceeds.”</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Dividend Policy</w:t>
            </w: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w w:val="89"/>
              </w:rPr>
              <w:t>We have never paid or declared any cash dividends on our ordinary shares, and we do not</w:t>
            </w:r>
          </w:p>
        </w:tc>
      </w:tr>
      <w:tr>
        <w:trPr>
          <w:trHeight w:val="216"/>
        </w:trPr>
        <w:tc>
          <w:tcPr>
            <w:tcW w:w="2760" w:type="dxa"/>
            <w:vAlign w:val="bottom"/>
          </w:tcPr>
          <w:p>
            <w:pPr>
              <w:spacing w:after="0"/>
              <w:rPr>
                <w:sz w:val="18"/>
                <w:szCs w:val="18"/>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w w:val="89"/>
              </w:rPr>
              <w:t>anticipate paying any cash dividends on our ordinary shares in the foreseeable future. See</w:t>
            </w:r>
          </w:p>
        </w:tc>
      </w:tr>
      <w:tr>
        <w:trPr>
          <w:trHeight w:val="230"/>
        </w:trPr>
        <w:tc>
          <w:tcPr>
            <w:tcW w:w="2760" w:type="dxa"/>
            <w:vAlign w:val="bottom"/>
          </w:tcPr>
          <w:p>
            <w:pPr>
              <w:spacing w:after="0"/>
              <w:rPr>
                <w:sz w:val="20"/>
                <w:szCs w:val="20"/>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rPr>
              <w:t>“Dividend Policy.”</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Risk Factors</w:t>
            </w: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w w:val="93"/>
              </w:rPr>
              <w:t>See “Risk Factors” and other information included in this prospectus for a discussion of</w:t>
            </w:r>
          </w:p>
        </w:tc>
      </w:tr>
      <w:tr>
        <w:trPr>
          <w:trHeight w:val="216"/>
        </w:trPr>
        <w:tc>
          <w:tcPr>
            <w:tcW w:w="2760" w:type="dxa"/>
            <w:vAlign w:val="bottom"/>
          </w:tcPr>
          <w:p>
            <w:pPr>
              <w:spacing w:after="0"/>
              <w:rPr>
                <w:sz w:val="18"/>
                <w:szCs w:val="18"/>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w w:val="91"/>
              </w:rPr>
              <w:t>factors you should carefully consider before deciding to invest in our ordinary shares and</w:t>
            </w:r>
          </w:p>
        </w:tc>
      </w:tr>
      <w:tr>
        <w:trPr>
          <w:trHeight w:val="230"/>
        </w:trPr>
        <w:tc>
          <w:tcPr>
            <w:tcW w:w="2760" w:type="dxa"/>
            <w:vAlign w:val="bottom"/>
          </w:tcPr>
          <w:p>
            <w:pPr>
              <w:spacing w:after="0"/>
              <w:rPr>
                <w:sz w:val="20"/>
                <w:szCs w:val="20"/>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rPr>
              <w:t>warrants.</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Proposed Listing</w:t>
            </w: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w w:val="94"/>
              </w:rPr>
              <w:t>We have applied to list our ordinary shares on the NASDAQ Capital Market under the</w:t>
            </w:r>
          </w:p>
        </w:tc>
      </w:tr>
      <w:tr>
        <w:trPr>
          <w:trHeight w:val="216"/>
        </w:trPr>
        <w:tc>
          <w:tcPr>
            <w:tcW w:w="2760" w:type="dxa"/>
            <w:vAlign w:val="bottom"/>
          </w:tcPr>
          <w:p>
            <w:pPr>
              <w:spacing w:after="0"/>
              <w:rPr>
                <w:sz w:val="18"/>
                <w:szCs w:val="18"/>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w w:val="95"/>
              </w:rPr>
              <w:t>symbol “ENTX”. We have applied to list our warrants on the NASDAQ Capital Market</w:t>
            </w:r>
          </w:p>
        </w:tc>
      </w:tr>
      <w:tr>
        <w:trPr>
          <w:trHeight w:val="230"/>
        </w:trPr>
        <w:tc>
          <w:tcPr>
            <w:tcW w:w="2760" w:type="dxa"/>
            <w:vAlign w:val="bottom"/>
          </w:tcPr>
          <w:p>
            <w:pPr>
              <w:spacing w:after="0"/>
              <w:rPr>
                <w:sz w:val="20"/>
                <w:szCs w:val="20"/>
                <w:color w:val="auto"/>
              </w:rPr>
            </w:pPr>
          </w:p>
        </w:tc>
        <w:tc>
          <w:tcPr>
            <w:tcW w:w="7980" w:type="dxa"/>
            <w:vAlign w:val="bottom"/>
            <w:gridSpan w:val="2"/>
          </w:tcPr>
          <w:p>
            <w:pPr>
              <w:ind w:left="1520"/>
              <w:spacing w:after="0"/>
              <w:rPr>
                <w:sz w:val="20"/>
                <w:szCs w:val="20"/>
                <w:color w:val="auto"/>
              </w:rPr>
            </w:pPr>
            <w:r>
              <w:rPr>
                <w:rFonts w:ascii="Arial" w:cs="Arial" w:eastAsia="Arial" w:hAnsi="Arial"/>
                <w:sz w:val="18"/>
                <w:szCs w:val="18"/>
                <w:color w:val="auto"/>
              </w:rPr>
              <w:t>under the symbol “ENTXW”.</w:t>
            </w:r>
          </w:p>
        </w:tc>
      </w:tr>
    </w:tbl>
    <w:p>
      <w:pPr>
        <w:spacing w:after="0" w:line="94"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We have based the number of our ordinary shares to be outstanding immediately following this offering on 10,018,320 ordinary shares outstanding as of March 31, 2018, assuming there is no exercise of the warrants offered hereby and after giving effect to the 1-for- 130 split of our ordinary shares that will be effected immediately following the pricing of this offering (as described below) and after giving effect to the 10,000 ordinary shares (on a post-split basis) to be issued to the representative upon the closing of this offering, excluding:</w:t>
      </w:r>
    </w:p>
    <w:p>
      <w:pPr>
        <w:spacing w:after="0" w:line="79" w:lineRule="exact"/>
        <w:rPr>
          <w:sz w:val="20"/>
          <w:szCs w:val="20"/>
          <w:color w:val="auto"/>
        </w:rPr>
      </w:pPr>
    </w:p>
    <w:p>
      <w:pPr>
        <w:ind w:left="640" w:right="260" w:hanging="362"/>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3,573,700 ordinary shares issuable upon the exercise of options consisting of (i) options to purchase 3,186,170 ordinary shares under our 2013 Share Incentive Plan at a weighted average exercise price of $4.63 per share outstanding as of March 31, 2018 and (ii) options to purchase 343,070 ordinary shares granted to certain holders of our Series A preferred shares to be exercisable upon the closing of this offering and options to purchase 44,460 ordinary shares held by certain Series A preferred shares shareholder, at a weighted average exercise price of $3.69, as described below;</w:t>
      </w:r>
    </w:p>
    <w:p>
      <w:pPr>
        <w:spacing w:after="0" w:line="80" w:lineRule="exact"/>
        <w:rPr>
          <w:rFonts w:ascii="Arial" w:cs="Arial" w:eastAsia="Arial" w:hAnsi="Arial"/>
          <w:sz w:val="18"/>
          <w:szCs w:val="18"/>
          <w:color w:val="auto"/>
        </w:rPr>
      </w:pPr>
    </w:p>
    <w:p>
      <w:pPr>
        <w:ind w:left="640" w:hanging="36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1,652,691 ordinary shares issuable upon exercise of other warrants, as described below;</w:t>
      </w:r>
    </w:p>
    <w:p>
      <w:pPr>
        <w:spacing w:after="0" w:line="117" w:lineRule="exact"/>
        <w:rPr>
          <w:rFonts w:ascii="Arial" w:cs="Arial" w:eastAsia="Arial" w:hAnsi="Arial"/>
          <w:sz w:val="18"/>
          <w:szCs w:val="18"/>
          <w:color w:val="auto"/>
        </w:rPr>
      </w:pPr>
    </w:p>
    <w:p>
      <w:pPr>
        <w:ind w:left="640" w:right="540" w:hanging="362"/>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1,363,398 ordinary shares reserved for future grants under the 2018 Equity Incentive Plan (the “2018 Plan”), which we intend to adopt in connection with this offering; and</w:t>
      </w:r>
    </w:p>
    <w:p>
      <w:pPr>
        <w:spacing w:after="0" w:line="62" w:lineRule="exact"/>
        <w:rPr>
          <w:rFonts w:ascii="Arial" w:cs="Arial" w:eastAsia="Arial" w:hAnsi="Arial"/>
          <w:sz w:val="18"/>
          <w:szCs w:val="18"/>
          <w:color w:val="auto"/>
        </w:rPr>
      </w:pPr>
    </w:p>
    <w:p>
      <w:pPr>
        <w:ind w:left="640" w:hanging="36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66,667 ordinary shares issuable upon exercise of the representative’s underwriter warrants as described under “Underwriting”.</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Unless we specifically state otherwise, this prospectus reflects and assumes:</w:t>
      </w:r>
    </w:p>
    <w:p>
      <w:pPr>
        <w:spacing w:after="0" w:line="117" w:lineRule="exact"/>
        <w:rPr>
          <w:sz w:val="20"/>
          <w:szCs w:val="20"/>
          <w:color w:val="auto"/>
        </w:rPr>
      </w:pPr>
    </w:p>
    <w:p>
      <w:pPr>
        <w:ind w:left="640" w:hanging="36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or warrants described above;</w:t>
      </w:r>
    </w:p>
    <w:p>
      <w:pPr>
        <w:spacing w:after="0" w:line="117" w:lineRule="exact"/>
        <w:rPr>
          <w:rFonts w:ascii="Arial" w:cs="Arial" w:eastAsia="Arial" w:hAnsi="Arial"/>
          <w:sz w:val="18"/>
          <w:szCs w:val="18"/>
          <w:color w:val="auto"/>
        </w:rPr>
      </w:pPr>
    </w:p>
    <w:p>
      <w:pPr>
        <w:ind w:left="640" w:hanging="36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warrants offered hereby;</w:t>
      </w:r>
    </w:p>
    <w:p>
      <w:pPr>
        <w:spacing w:after="0" w:line="117" w:lineRule="exact"/>
        <w:rPr>
          <w:rFonts w:ascii="Arial" w:cs="Arial" w:eastAsia="Arial" w:hAnsi="Arial"/>
          <w:sz w:val="18"/>
          <w:szCs w:val="18"/>
          <w:color w:val="auto"/>
        </w:rPr>
      </w:pPr>
    </w:p>
    <w:p>
      <w:pPr>
        <w:ind w:left="640" w:right="800" w:hanging="36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initial public offering price of $9.00 per unit, which is the midpoint of the estimated offering price range on the cover page of this prospectus; and</w:t>
      </w:r>
    </w:p>
    <w:p>
      <w:pPr>
        <w:spacing w:after="0" w:line="62" w:lineRule="exact"/>
        <w:rPr>
          <w:rFonts w:ascii="Arial" w:cs="Arial" w:eastAsia="Arial" w:hAnsi="Arial"/>
          <w:sz w:val="18"/>
          <w:szCs w:val="18"/>
          <w:color w:val="auto"/>
        </w:rPr>
      </w:pPr>
    </w:p>
    <w:p>
      <w:pPr>
        <w:ind w:left="640" w:hanging="362"/>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the underwriters do not exercise their over-allotment option or the warrants issued to the representative in connection with this offering.</w:t>
      </w:r>
    </w:p>
    <w:p>
      <w:pPr>
        <w:sectPr>
          <w:pgSz w:w="11900" w:h="16838" w:orient="portrait"/>
          <w:cols w:equalWidth="0" w:num="1">
            <w:col w:w="11060"/>
          </w:cols>
          <w:pgMar w:left="24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32" w:right="599"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80"/>
          </w:cols>
          <w:pgMar w:left="240" w:top="13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line="277" w:lineRule="auto"/>
        <w:rPr>
          <w:sz w:val="20"/>
          <w:szCs w:val="20"/>
          <w:color w:val="auto"/>
        </w:rPr>
      </w:pPr>
      <w:r>
        <w:rPr>
          <w:rFonts w:ascii="Arial" w:cs="Arial" w:eastAsia="Arial" w:hAnsi="Arial"/>
          <w:sz w:val="18"/>
          <w:szCs w:val="18"/>
          <w:color w:val="auto"/>
        </w:rPr>
        <w:t>In addition, unless otherwise indicated, this prospectus reflects and assumes that a number of actions will be completed in connection with the closing of this offering, which we refer to as the “IPO Transactions.” These actions include the following:</w:t>
      </w:r>
    </w:p>
    <w:p>
      <w:pPr>
        <w:spacing w:after="0" w:line="62" w:lineRule="exact"/>
        <w:rPr>
          <w:sz w:val="20"/>
          <w:szCs w:val="20"/>
          <w:color w:val="auto"/>
        </w:rPr>
      </w:pPr>
    </w:p>
    <w:p>
      <w:pPr>
        <w:ind w:left="640" w:right="640" w:hanging="36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our Sixth Amended and Restated Articles of Association (the “amended Articles”), immediately upon the closing of this offering, to replace the current Articles;</w:t>
      </w:r>
    </w:p>
    <w:p>
      <w:pPr>
        <w:spacing w:after="0" w:line="62" w:lineRule="exact"/>
        <w:rPr>
          <w:rFonts w:ascii="Arial" w:cs="Arial" w:eastAsia="Arial" w:hAnsi="Arial"/>
          <w:sz w:val="18"/>
          <w:szCs w:val="18"/>
          <w:color w:val="auto"/>
        </w:rPr>
      </w:pPr>
    </w:p>
    <w:p>
      <w:pPr>
        <w:ind w:left="640" w:right="340" w:hanging="36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1-for- 130 split of our ordinary shares that will be effected immediately following the pricing of this offering (which ordinary share split is not reflected in our historical financial statements included in this prospectus);</w:t>
      </w:r>
    </w:p>
    <w:p>
      <w:pPr>
        <w:spacing w:after="0" w:line="62" w:lineRule="exact"/>
        <w:rPr>
          <w:rFonts w:ascii="Arial" w:cs="Arial" w:eastAsia="Arial" w:hAnsi="Arial"/>
          <w:sz w:val="18"/>
          <w:szCs w:val="18"/>
          <w:color w:val="auto"/>
        </w:rPr>
      </w:pPr>
    </w:p>
    <w:p>
      <w:pPr>
        <w:ind w:left="640" w:right="220" w:hanging="362"/>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automatic conversion of all of our issued and outstanding Series A preferred shares, par value NIS 0.01 per share, into 1,328,860 of our ordinary shares, par value NIS 0.0000769, upon the closing of this offering, as provided in our current Articles; the automatic conversion of all of our issued and outstanding Series B preferred shares, par value NIS 0.01 per share, into 1,856,790 of our ordinary shares, par value NIS 0.0000769, upon the closing of this offering, as provided in our current Articles; the automatic conversion of all of our issued and outstanding Series B-1 Preferred Shares, par value NIS 0.01 per share, into 1,719,770 of our ordinary shares, par value NIS 0.0000769, upon the closing of this offering, as provided in our current Articles; and</w:t>
      </w:r>
    </w:p>
    <w:p>
      <w:pPr>
        <w:spacing w:after="0" w:line="70" w:lineRule="exact"/>
        <w:rPr>
          <w:rFonts w:ascii="Arial" w:cs="Arial" w:eastAsia="Arial" w:hAnsi="Arial"/>
          <w:sz w:val="17"/>
          <w:szCs w:val="17"/>
          <w:color w:val="auto"/>
        </w:rPr>
      </w:pPr>
    </w:p>
    <w:p>
      <w:pPr>
        <w:ind w:left="640" w:right="520" w:hanging="362"/>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convertible loans under the Convertible Financing Agreements to which we are a party into 622,180 of our ordinary shares immediately prior to the closing of this offering, as described below in “Certain Relationships and Related Party Transactions”;</w:t>
      </w:r>
    </w:p>
    <w:p>
      <w:pPr>
        <w:spacing w:after="0" w:line="73" w:lineRule="exact"/>
        <w:rPr>
          <w:rFonts w:ascii="Arial" w:cs="Arial" w:eastAsia="Arial" w:hAnsi="Arial"/>
          <w:sz w:val="18"/>
          <w:szCs w:val="18"/>
          <w:color w:val="auto"/>
        </w:rPr>
      </w:pPr>
    </w:p>
    <w:p>
      <w:pPr>
        <w:ind w:left="640" w:right="220" w:hanging="362"/>
        <w:spacing w:after="0" w:line="25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existing options to purchase 2,981 of our Series A preferred shares at an exercise price of $479.38 per share, into options to purchase 387,530 ordinary shares at a weighted average exercise price of $3.69 and warrants to purchase 661 of our Series A preferred shares, at an exercise price of $479.38 per share, into warrants to purchase 85,931 ordinary shares at a weighted average exercise price of $3.69 granted to certain holders of our Series A preferred shares that are exercisable upon the closing of this offering, as described below in “Certain Relationships and Related Party Transactions;</w:t>
      </w:r>
    </w:p>
    <w:p>
      <w:pPr>
        <w:spacing w:after="0" w:line="80" w:lineRule="exact"/>
        <w:rPr>
          <w:rFonts w:ascii="Arial" w:cs="Arial" w:eastAsia="Arial" w:hAnsi="Arial"/>
          <w:sz w:val="18"/>
          <w:szCs w:val="18"/>
          <w:color w:val="auto"/>
        </w:rPr>
      </w:pPr>
    </w:p>
    <w:p>
      <w:pPr>
        <w:ind w:left="640" w:right="280" w:hanging="362"/>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automatic conversion of warrants to purchase 2,640 of our Series A preferred shares, at an exercise price of $479.38 per share, into warrants to purchase 343,200 of our ordinary shares, at an exercise price of $3.69 per share; the automatic conversion of warrants to purchase 5,818 of our Series B preferred shares, at an exercise price of $908.78 per share, into warrants to purchase 756,340 of our ordinary shares, at an exercise price of $6.99 per share; and the automatic conversion of warrants to purchase 3,594 of our Series B-1 preferred shares, at an exercise price of $681.585 per share, into warrants to purchase 467,220 of our ordinary shares, at an exercise price of $5.24 per share, all upon the closing of this offering, as described below in “Description of Share Capital — Warrants.”</w:t>
      </w:r>
    </w:p>
    <w:p>
      <w:pPr>
        <w:spacing w:after="0" w:line="70" w:lineRule="exact"/>
        <w:rPr>
          <w:sz w:val="20"/>
          <w:szCs w:val="20"/>
          <w:color w:val="auto"/>
        </w:rPr>
      </w:pPr>
    </w:p>
    <w:p>
      <w:pPr>
        <w:ind w:left="280" w:right="20"/>
        <w:spacing w:after="0" w:line="297" w:lineRule="auto"/>
        <w:rPr>
          <w:sz w:val="20"/>
          <w:szCs w:val="20"/>
          <w:color w:val="auto"/>
        </w:rPr>
      </w:pPr>
      <w:r>
        <w:rPr>
          <w:rFonts w:ascii="Arial" w:cs="Arial" w:eastAsia="Arial" w:hAnsi="Arial"/>
          <w:sz w:val="16"/>
          <w:szCs w:val="16"/>
          <w:color w:val="auto"/>
        </w:rPr>
        <w:t>Certain of our existing shareholders and parties affiliated with our existing shareholders have indicated an interest in purchasing an aggregate of up to approximately $5.0 million of the units in this offering at the initial public offering price per unit. However, indications of interest are not binding agreements or commitments to purchase, and these entities may determine to purchase a greater or lesser number of units than they have indicated an interest in purchasing or to not purchase any units in this offering. In addition, we and the underwriters could determine to sell a greater or lesser number of units to any of these entities than the entities have indicated an interest in purchasing or to not sell any units to these entities.</w:t>
      </w:r>
    </w:p>
    <w:p>
      <w:pPr>
        <w:sectPr>
          <w:pgSz w:w="11900" w:h="16838" w:orient="portrait"/>
          <w:cols w:equalWidth="0" w:num="1">
            <w:col w:w="11080"/>
          </w:cols>
          <w:pgMar w:left="240" w:top="13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32" w:right="579"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FINANCIAL DATA</w:t>
      </w:r>
    </w:p>
    <w:p>
      <w:pPr>
        <w:spacing w:after="0" w:line="108" w:lineRule="exact"/>
        <w:rPr>
          <w:sz w:val="20"/>
          <w:szCs w:val="20"/>
          <w:color w:val="auto"/>
        </w:rPr>
      </w:pPr>
    </w:p>
    <w:p>
      <w:pPr>
        <w:jc w:val="both"/>
        <w:ind w:left="280" w:right="20"/>
        <w:spacing w:after="0" w:line="279" w:lineRule="auto"/>
        <w:rPr>
          <w:sz w:val="20"/>
          <w:szCs w:val="20"/>
          <w:color w:val="auto"/>
        </w:rPr>
      </w:pPr>
      <w:r>
        <w:rPr>
          <w:rFonts w:ascii="Arial" w:cs="Arial" w:eastAsia="Arial" w:hAnsi="Arial"/>
          <w:sz w:val="17"/>
          <w:szCs w:val="17"/>
          <w:color w:val="auto"/>
        </w:rPr>
        <w:t>The following tables set forth summary financial and other data. You should read the following summary financial and other data in conjunction with “Presentation of Financial Information,”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63" w:lineRule="exact"/>
        <w:rPr>
          <w:sz w:val="20"/>
          <w:szCs w:val="20"/>
          <w:color w:val="auto"/>
        </w:rPr>
      </w:pPr>
    </w:p>
    <w:p>
      <w:pPr>
        <w:ind w:left="280" w:right="60"/>
        <w:spacing w:after="0" w:line="342" w:lineRule="auto"/>
        <w:rPr>
          <w:sz w:val="20"/>
          <w:szCs w:val="20"/>
          <w:color w:val="auto"/>
        </w:rPr>
      </w:pPr>
      <w:r>
        <w:rPr>
          <w:rFonts w:ascii="Arial" w:cs="Arial" w:eastAsia="Arial" w:hAnsi="Arial"/>
          <w:sz w:val="16"/>
          <w:szCs w:val="16"/>
          <w:color w:val="auto"/>
        </w:rPr>
        <w:t>The summary statements of comprehensive loss data for each of the years in the two-year period ended December 31, 2017 and the summary statements of financial position data as of December 31, 2017 are derived from our audited financial statements included elsewhere in this prospectus.</w:t>
      </w:r>
    </w:p>
    <w:p>
      <w:pPr>
        <w:spacing w:after="0" w:line="21"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(In thousands, except shares and</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3"/>
              </w:rPr>
              <w:t>per share data)</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460"/>
              <w:spacing w:after="0"/>
              <w:rPr>
                <w:sz w:val="20"/>
                <w:szCs w:val="20"/>
                <w:color w:val="auto"/>
              </w:rPr>
            </w:pPr>
            <w:r>
              <w:rPr>
                <w:rFonts w:ascii="Arial" w:cs="Arial" w:eastAsia="Arial" w:hAnsi="Arial"/>
                <w:sz w:val="18"/>
                <w:szCs w:val="18"/>
                <w:b w:val="1"/>
                <w:bCs w:val="1"/>
                <w:color w:val="auto"/>
              </w:rPr>
              <w:t>Statements of comprehensive loss: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ind w:left="4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2,768</w:t>
            </w: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2,648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gridSpan w:val="3"/>
          </w:tcPr>
          <w:p>
            <w:pPr>
              <w:ind w:left="640"/>
              <w:spacing w:after="0"/>
              <w:rPr>
                <w:sz w:val="20"/>
                <w:szCs w:val="20"/>
                <w:color w:val="auto"/>
              </w:rPr>
            </w:pPr>
            <w:r>
              <w:rPr>
                <w:rFonts w:ascii="Arial" w:cs="Arial" w:eastAsia="Arial" w:hAnsi="Arial"/>
                <w:sz w:val="18"/>
                <w:szCs w:val="18"/>
                <w:color w:val="auto"/>
              </w:rPr>
              <w:t>Total operating loss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ind w:left="460"/>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10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Other financial expenses, net</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40" w:type="dxa"/>
            <w:vAlign w:val="bottom"/>
            <w:gridSpan w:val="3"/>
          </w:tcPr>
          <w:p>
            <w:pPr>
              <w:ind w:left="460"/>
              <w:spacing w:after="0"/>
              <w:rPr>
                <w:sz w:val="20"/>
                <w:szCs w:val="20"/>
                <w:color w:val="auto"/>
              </w:rPr>
            </w:pPr>
            <w:r>
              <w:rPr>
                <w:rFonts w:ascii="Arial" w:cs="Arial" w:eastAsia="Arial" w:hAnsi="Arial"/>
                <w:sz w:val="18"/>
                <w:szCs w:val="18"/>
                <w:color w:val="auto"/>
              </w:rPr>
              <w:t>Financial income, net</w:t>
            </w:r>
          </w:p>
        </w:tc>
        <w:tc>
          <w:tcPr>
            <w:tcW w:w="100" w:type="dxa"/>
            <w:vAlign w:val="bottom"/>
          </w:tcPr>
          <w:p>
            <w:pPr>
              <w:spacing w:after="0"/>
              <w:rPr>
                <w:sz w:val="20"/>
                <w:szCs w:val="20"/>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37"/>
        </w:trPr>
        <w:tc>
          <w:tcPr>
            <w:tcW w:w="804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Net comprehensive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ind w:left="460"/>
              <w:spacing w:after="0"/>
              <w:rPr>
                <w:sz w:val="20"/>
                <w:szCs w:val="20"/>
                <w:color w:val="auto"/>
              </w:rPr>
            </w:pPr>
            <w:r>
              <w:rPr>
                <w:rFonts w:ascii="Arial" w:cs="Arial" w:eastAsia="Arial" w:hAnsi="Arial"/>
                <w:sz w:val="18"/>
                <w:szCs w:val="18"/>
                <w:color w:val="auto"/>
              </w:rPr>
              <w:t>Loss per ordinary share</w:t>
            </w:r>
            <w:r>
              <w:rPr>
                <w:rFonts w:ascii="Arial" w:cs="Arial" w:eastAsia="Arial" w:hAnsi="Arial"/>
                <w:sz w:val="27"/>
                <w:szCs w:val="27"/>
                <w:color w:val="auto"/>
                <w:vertAlign w:val="superscript"/>
              </w:rPr>
              <w:t>(1)</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gridSpan w:val="3"/>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8040" w:type="dxa"/>
            <w:vAlign w:val="bottom"/>
            <w:gridSpan w:val="3"/>
            <w:shd w:val="clear" w:color="auto" w:fill="CCEEFF"/>
          </w:tcPr>
          <w:p>
            <w:pPr>
              <w:ind w:left="460"/>
              <w:spacing w:after="0" w:line="292" w:lineRule="exact"/>
              <w:rPr>
                <w:sz w:val="20"/>
                <w:szCs w:val="20"/>
                <w:color w:val="auto"/>
              </w:rPr>
            </w:pPr>
            <w:r>
              <w:rPr>
                <w:rFonts w:ascii="Arial" w:cs="Arial" w:eastAsia="Arial" w:hAnsi="Arial"/>
                <w:sz w:val="18"/>
                <w:szCs w:val="18"/>
                <w:color w:val="auto"/>
              </w:rPr>
              <w:t>Weighted average number of ordinary shares used in computing loss per ordinary share</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4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34,544</w:t>
            </w: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34,409</w:t>
            </w:r>
          </w:p>
        </w:tc>
        <w:tc>
          <w:tcPr>
            <w:tcW w:w="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34,544</w:t>
            </w: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51,972</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ind w:left="460"/>
              <w:spacing w:after="0"/>
              <w:rPr>
                <w:sz w:val="20"/>
                <w:szCs w:val="20"/>
                <w:color w:val="auto"/>
              </w:rPr>
            </w:pPr>
            <w:r>
              <w:rPr>
                <w:rFonts w:ascii="Arial" w:cs="Arial" w:eastAsia="Arial" w:hAnsi="Arial"/>
                <w:sz w:val="18"/>
                <w:szCs w:val="18"/>
                <w:color w:val="auto"/>
              </w:rPr>
              <w:t>Pro forma loss per ordinary share</w:t>
            </w:r>
            <w:r>
              <w:rPr>
                <w:rFonts w:ascii="Arial" w:cs="Arial" w:eastAsia="Arial" w:hAnsi="Arial"/>
                <w:sz w:val="27"/>
                <w:szCs w:val="27"/>
                <w:color w:val="auto"/>
                <w:vertAlign w:val="superscript"/>
              </w:rPr>
              <w:t>(2)</w:t>
            </w:r>
            <w:r>
              <w:rPr>
                <w:rFonts w:ascii="Arial" w:cs="Arial" w:eastAsia="Arial" w:hAnsi="Arial"/>
                <w:sz w:val="18"/>
                <w:szCs w:val="18"/>
                <w:color w:val="auto"/>
              </w:rPr>
              <w:t xml:space="preserve"> (unaudited)</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gridSpan w:val="3"/>
            <w:vMerge w:val="continue"/>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040" w:type="dxa"/>
            <w:vAlign w:val="bottom"/>
            <w:gridSpan w:val="3"/>
            <w:shd w:val="clear" w:color="auto" w:fill="CCEEFF"/>
          </w:tcPr>
          <w:p>
            <w:pPr>
              <w:ind w:left="460"/>
              <w:spacing w:after="0" w:line="276" w:lineRule="exact"/>
              <w:rPr>
                <w:sz w:val="20"/>
                <w:szCs w:val="20"/>
                <w:color w:val="auto"/>
              </w:rPr>
            </w:pPr>
            <w:r>
              <w:rPr>
                <w:rFonts w:ascii="Arial" w:cs="Arial" w:eastAsia="Arial" w:hAnsi="Arial"/>
                <w:sz w:val="18"/>
                <w:szCs w:val="18"/>
                <w:color w:val="auto"/>
              </w:rPr>
              <w:t>Weighted average number of ordinary shares used in computing pro forma loss per share</w:t>
            </w:r>
            <w:r>
              <w:rPr>
                <w:rFonts w:ascii="Arial" w:cs="Arial" w:eastAsia="Arial" w:hAnsi="Arial"/>
                <w:sz w:val="27"/>
                <w:szCs w:val="27"/>
                <w:color w:val="auto"/>
                <w:vertAlign w:val="superscript"/>
              </w:rPr>
              <w:t>(2)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4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8,573,391</w:t>
            </w: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7,366,662</w:t>
            </w:r>
          </w:p>
        </w:tc>
        <w:tc>
          <w:tcPr>
            <w:tcW w:w="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8,918,229</w:t>
            </w: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8,650,509</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80" w:type="dxa"/>
            <w:vAlign w:val="bottom"/>
            <w:tcBorders>
              <w:bottom w:val="single" w:sz="8" w:color="auto"/>
            </w:tcBorders>
          </w:tcPr>
          <w:p>
            <w:pPr>
              <w:spacing w:after="0"/>
              <w:rPr>
                <w:sz w:val="22"/>
                <w:szCs w:val="22"/>
                <w:color w:val="auto"/>
              </w:rPr>
            </w:pPr>
          </w:p>
        </w:tc>
        <w:tc>
          <w:tcPr>
            <w:tcW w:w="5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480" w:hanging="362"/>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Basic and diluted loss per ordinary share in 2017 are the same because the financial instruments as described in the financial statements are excluded from the calculation, since their effect was anti-dilutive. See Note 13 to our financial statements included elsewhere in this prospectus for further details on the calculation of basic and diluted loss per ordinary share.</w:t>
      </w:r>
    </w:p>
    <w:p>
      <w:pPr>
        <w:spacing w:after="0" w:line="140" w:lineRule="exact"/>
        <w:rPr>
          <w:rFonts w:ascii="Arial" w:cs="Arial" w:eastAsia="Arial" w:hAnsi="Arial"/>
          <w:sz w:val="18"/>
          <w:szCs w:val="18"/>
          <w:color w:val="auto"/>
        </w:rPr>
      </w:pPr>
    </w:p>
    <w:p>
      <w:pPr>
        <w:ind w:left="640" w:right="480" w:hanging="362"/>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 forma basic and diluted loss per ordinary share give effect to the 1-for-130 ordinary share split described in this prospectus and the assumed conversion of our outstanding convertible loans and preferred shares into ordinary shares upon the closing of this offering, but not the exercise of any</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outstanding options or warrants, as though the conversion had occurred as of the beginning of the period or the original date of issuance, if later, and do not reflect the issuance of shares and warrants in connection with this offering.</w:t>
      </w:r>
    </w:p>
    <w:p>
      <w:pPr>
        <w:spacing w:after="0" w:line="6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 2017</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4"/>
          </w:tcPr>
          <w:p>
            <w:pPr>
              <w:jc w:val="right"/>
              <w:ind w:right="240"/>
              <w:spacing w:after="0" w:line="148"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1780" w:type="dxa"/>
            <w:vAlign w:val="bottom"/>
            <w:tcBorders>
              <w:bottom w:val="single" w:sz="8" w:color="auto"/>
            </w:tcBorders>
            <w:gridSpan w:val="4"/>
          </w:tcPr>
          <w:p>
            <w:pPr>
              <w:jc w:val="right"/>
              <w:ind w:right="560"/>
              <w:spacing w:after="0" w:line="230"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1"/>
                <w:szCs w:val="21"/>
                <w:b w:val="1"/>
                <w:bCs w:val="1"/>
                <w:color w:val="auto"/>
                <w:vertAlign w:val="superscript"/>
              </w:rPr>
              <w:t>(1)</w:t>
            </w:r>
          </w:p>
        </w:tc>
        <w:tc>
          <w:tcPr>
            <w:tcW w:w="1160" w:type="dxa"/>
            <w:vAlign w:val="bottom"/>
            <w:tcBorders>
              <w:bottom w:val="single" w:sz="8" w:color="auto"/>
            </w:tcBorders>
            <w:gridSpan w:val="4"/>
          </w:tcPr>
          <w:p>
            <w:pPr>
              <w:jc w:val="right"/>
              <w:ind w:right="280"/>
              <w:spacing w:after="0" w:line="230"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right"/>
              <w:ind w:right="4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ind w:left="460"/>
              <w:spacing w:after="0"/>
              <w:rPr>
                <w:sz w:val="20"/>
                <w:szCs w:val="20"/>
                <w:color w:val="auto"/>
              </w:rPr>
            </w:pPr>
            <w:r>
              <w:rPr>
                <w:rFonts w:ascii="Arial" w:cs="Arial" w:eastAsia="Arial" w:hAnsi="Arial"/>
                <w:sz w:val="18"/>
                <w:szCs w:val="18"/>
                <w:b w:val="1"/>
                <w:bCs w:val="1"/>
                <w:color w:val="auto"/>
              </w:rPr>
              <w:t>Statements of financial position data:</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ind w:left="460"/>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$ 11,746</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11,746</w:t>
            </w:r>
          </w:p>
        </w:tc>
        <w:tc>
          <w:tcPr>
            <w:tcW w:w="6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Other current assets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40" w:type="dxa"/>
            <w:vAlign w:val="bottom"/>
            <w:gridSpan w:val="3"/>
          </w:tcPr>
          <w:p>
            <w:pPr>
              <w:ind w:left="460"/>
              <w:spacing w:after="0"/>
              <w:rPr>
                <w:sz w:val="20"/>
                <w:szCs w:val="20"/>
                <w:color w:val="auto"/>
              </w:rPr>
            </w:pPr>
            <w:r>
              <w:rPr>
                <w:rFonts w:ascii="Arial" w:cs="Arial" w:eastAsia="Arial" w:hAnsi="Arial"/>
                <w:sz w:val="18"/>
                <w:szCs w:val="18"/>
                <w:color w:val="auto"/>
              </w:rPr>
              <w:t>Total current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12,417</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12,417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Property and equipment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Intangible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$ 13,278</w:t>
            </w:r>
          </w:p>
        </w:tc>
        <w:tc>
          <w:tcPr>
            <w:tcW w:w="2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13,278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23,303</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3"/>
            <w:vMerge w:val="restart"/>
          </w:tcPr>
          <w:p>
            <w:pPr>
              <w:ind w:left="460"/>
              <w:spacing w:after="0"/>
              <w:rPr>
                <w:sz w:val="20"/>
                <w:szCs w:val="20"/>
                <w:color w:val="auto"/>
              </w:rPr>
            </w:pPr>
            <w:r>
              <w:rPr>
                <w:rFonts w:ascii="Arial" w:cs="Arial" w:eastAsia="Arial" w:hAnsi="Arial"/>
                <w:sz w:val="18"/>
                <w:szCs w:val="18"/>
                <w:color w:val="auto"/>
              </w:rPr>
              <w:t>Accounts payable – Trade and other</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40" w:type="dxa"/>
            <w:vAlign w:val="bottom"/>
            <w:gridSpan w:val="3"/>
            <w:vMerge w:val="continue"/>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8"/>
                <w:szCs w:val="18"/>
                <w:color w:val="auto"/>
              </w:rPr>
              <w:t>2,020</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8"/>
                <w:szCs w:val="18"/>
                <w:color w:val="auto"/>
              </w:rPr>
              <w:t>2,020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40" w:type="dxa"/>
            <w:vAlign w:val="bottom"/>
            <w:gridSpan w:val="3"/>
          </w:tcPr>
          <w:p>
            <w:pPr>
              <w:ind w:left="460"/>
              <w:spacing w:after="0"/>
              <w:rPr>
                <w:sz w:val="20"/>
                <w:szCs w:val="20"/>
                <w:color w:val="auto"/>
              </w:rPr>
            </w:pPr>
            <w:r>
              <w:rPr>
                <w:rFonts w:ascii="Arial" w:cs="Arial" w:eastAsia="Arial" w:hAnsi="Arial"/>
                <w:sz w:val="18"/>
                <w:szCs w:val="18"/>
                <w:color w:val="auto"/>
              </w:rPr>
              <w:t>Long-term convertible loans</w:t>
            </w:r>
          </w:p>
        </w:tc>
        <w:tc>
          <w:tcPr>
            <w:tcW w:w="660" w:type="dxa"/>
            <w:vAlign w:val="bottom"/>
          </w:tcPr>
          <w:p>
            <w:pPr>
              <w:jc w:val="right"/>
              <w:spacing w:after="0"/>
              <w:rPr>
                <w:sz w:val="20"/>
                <w:szCs w:val="20"/>
                <w:color w:val="auto"/>
              </w:rPr>
            </w:pPr>
            <w:r>
              <w:rPr>
                <w:rFonts w:ascii="Arial" w:cs="Arial" w:eastAsia="Arial" w:hAnsi="Arial"/>
                <w:sz w:val="18"/>
                <w:szCs w:val="18"/>
                <w:color w:val="auto"/>
              </w:rPr>
              <w:t>3,893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Preferred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gridSpan w:val="3"/>
          </w:tcPr>
          <w:p>
            <w:pPr>
              <w:ind w:left="460"/>
              <w:spacing w:after="0"/>
              <w:rPr>
                <w:sz w:val="20"/>
                <w:szCs w:val="20"/>
                <w:color w:val="auto"/>
              </w:rPr>
            </w:pPr>
            <w:r>
              <w:rPr>
                <w:rFonts w:ascii="Arial" w:cs="Arial" w:eastAsia="Arial" w:hAnsi="Arial"/>
                <w:sz w:val="18"/>
                <w:szCs w:val="18"/>
                <w:color w:val="auto"/>
              </w:rPr>
              <w:t>Warrants to purchase preferred shares and 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5,398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line="216" w:lineRule="exact"/>
              <w:rPr>
                <w:sz w:val="20"/>
                <w:szCs w:val="20"/>
                <w:color w:val="auto"/>
              </w:rPr>
            </w:pPr>
            <w:r>
              <w:rPr>
                <w:rFonts w:ascii="Arial" w:cs="Arial" w:eastAsia="Arial" w:hAnsi="Arial"/>
                <w:sz w:val="17"/>
                <w:szCs w:val="17"/>
                <w:color w:val="auto"/>
                <w:w w:val="98"/>
              </w:rPr>
              <w:t>2,240</w:t>
            </w:r>
            <w:r>
              <w:rPr>
                <w:rFonts w:ascii="Arial" w:cs="Arial" w:eastAsia="Arial" w:hAnsi="Arial"/>
                <w:sz w:val="25"/>
                <w:szCs w:val="25"/>
                <w:color w:val="auto"/>
                <w:w w:val="98"/>
                <w:vertAlign w:val="superscript"/>
              </w:rPr>
              <w:t>(3)</w:t>
            </w: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Severance pay obligations, net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04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Total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$ 44,836</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6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Equity (capital deficiency)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(31,558</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11,188</w:t>
            </w: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18,973</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ind w:left="460"/>
              <w:spacing w:after="0" w:line="250" w:lineRule="exact"/>
              <w:rPr>
                <w:sz w:val="20"/>
                <w:szCs w:val="20"/>
                <w:color w:val="auto"/>
              </w:rPr>
            </w:pPr>
            <w:r>
              <w:rPr>
                <w:rFonts w:ascii="Arial" w:cs="Arial" w:eastAsia="Arial" w:hAnsi="Arial"/>
                <w:sz w:val="18"/>
                <w:szCs w:val="18"/>
                <w:color w:val="auto"/>
              </w:rPr>
              <w:t>Working capital</w:t>
            </w:r>
            <w:r>
              <w:rPr>
                <w:rFonts w:ascii="Arial" w:cs="Arial" w:eastAsia="Arial" w:hAnsi="Arial"/>
                <w:sz w:val="27"/>
                <w:szCs w:val="27"/>
                <w:color w:val="auto"/>
                <w:vertAlign w:val="superscript"/>
              </w:rPr>
              <w:t>(4)</w:t>
            </w: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$ 10,397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10,397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80" w:type="dxa"/>
            <w:vAlign w:val="bottom"/>
            <w:tcBorders>
              <w:bottom w:val="single" w:sz="8" w:color="auto"/>
            </w:tcBorders>
          </w:tcPr>
          <w:p>
            <w:pPr>
              <w:spacing w:after="0"/>
              <w:rPr>
                <w:sz w:val="22"/>
                <w:szCs w:val="22"/>
                <w:color w:val="auto"/>
              </w:rPr>
            </w:pPr>
          </w:p>
        </w:tc>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hanging="36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 forma amounts give effect to the IPO Transactions as described in “Summary — The Offering.”</w:t>
      </w:r>
    </w:p>
    <w:p>
      <w:pPr>
        <w:spacing w:after="0" w:line="184" w:lineRule="exact"/>
        <w:rPr>
          <w:rFonts w:ascii="Arial" w:cs="Arial" w:eastAsia="Arial" w:hAnsi="Arial"/>
          <w:sz w:val="18"/>
          <w:szCs w:val="18"/>
          <w:color w:val="auto"/>
        </w:rPr>
      </w:pPr>
    </w:p>
    <w:p>
      <w:pPr>
        <w:ind w:left="640" w:right="320" w:hanging="362"/>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 forma as adjusted amounts give effect to (a) the IPO Transactions and (b) our sale of 1,333,334 units at an assumed initial public offering price of $9.00 per unit, which is the midpoint of the estimated offering price range on the cover page of this prospectus, and after deducting the estimated underwriting discounts and commissions and estimated offering expenses payable by us (of which $85,000 was paid as of December 31, 2017).</w:t>
      </w:r>
    </w:p>
    <w:p>
      <w:pPr>
        <w:spacing w:after="0" w:line="146" w:lineRule="exact"/>
        <w:rPr>
          <w:rFonts w:ascii="Arial" w:cs="Arial" w:eastAsia="Arial" w:hAnsi="Arial"/>
          <w:sz w:val="18"/>
          <w:szCs w:val="18"/>
          <w:color w:val="auto"/>
        </w:rPr>
      </w:pPr>
    </w:p>
    <w:p>
      <w:pPr>
        <w:ind w:left="640" w:right="300" w:hanging="362"/>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accounting purposes, the warrants included in the Units offered hereby are classified as a financial liability considering, inter alia, certain adjustments to exercise price which do not meet the ‘fixed for fixed’ requirement of IAS 32 “Financial Instruments: Presentation.” Therefore, the warrants included in the Units offered are measured at fair value. The fair value of the warrants is estimated using the Monte Carlo simulation method. The main assumption used were ordinary share price of $7.32 which was valued based on the expected price of the Unit to be offered in this Offering, exercise price of $11.25 per share, expected volatility of 72%, risk free interest of 2.77% and dividend distributions of 0%.</w:t>
      </w:r>
    </w:p>
    <w:p>
      <w:pPr>
        <w:spacing w:after="0" w:line="166" w:lineRule="exact"/>
        <w:rPr>
          <w:rFonts w:ascii="Arial" w:cs="Arial" w:eastAsia="Arial" w:hAnsi="Arial"/>
          <w:sz w:val="18"/>
          <w:szCs w:val="18"/>
          <w:color w:val="auto"/>
        </w:rPr>
      </w:pPr>
    </w:p>
    <w:p>
      <w:pPr>
        <w:ind w:left="640" w:hanging="36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i w:val="1"/>
          <w:iCs w:val="1"/>
          <w:color w:val="auto"/>
        </w:rPr>
        <w:t>Any investment in our securities involves a high degree of risk. You should consider carefully the risks described below and all other information contained in this prospectus before you make a decision to invest in our ordinary shares and warrants. If any of the following risks actually occurs, our business, prospects, financial condition and results of operations could be materially and adversely affected. In that event, the trading price of our ordinary shares could decline, and you might lose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Need for Additional Capital</w:t>
      </w:r>
    </w:p>
    <w:p>
      <w:pPr>
        <w:spacing w:after="0" w:line="19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b w:val="1"/>
          <w:bCs w:val="1"/>
          <w:color w:val="auto"/>
        </w:rPr>
        <w:t>We are a research and development stage company with a history of operating losses and negative cash flow, and we may never achieve or maintain profitability.</w:t>
      </w:r>
    </w:p>
    <w:p>
      <w:pPr>
        <w:spacing w:after="0" w:line="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research and development stage company with no revenues from our research and development activities. Consequently, we have incurred net losses and negative cash flows since our inception in 2009, including operating losses of $5.4 million and $11.3 million for the years ended December 31, 2016 and 2017. As of December 31, 2017, we had an accumulated deficit of $41.8 million.</w:t>
      </w:r>
    </w:p>
    <w:p>
      <w:pPr>
        <w:spacing w:after="0" w:line="7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audited financial statements for the year ended December 31, 2017 included elsewhere in this prospectus, note that there is substantial doubt about our ability to continue as a going concern, absent sources of additional liquidity. From October to December 2017, we raised $13.0 million from sales of our Series B preferred shares. In order to fund further operations, we will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These conditions raise substantial doubt about our ability to continue as a going concern, and we will be required to raise additional funds, seek alternative means of financial support,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curtail or cease operations.</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currently have no product revenues and may not succeed in developing or commercializing any products that could generate revenues. We expect to continue to incur losses for the foreseeable future, and we expect these losses to increase as we continue our research and development of, and seek regulatory approvals for, our product candidates, prepare for and begin to commercialize any approved products, and add infrastructure and personnel to support our product development efforts and operations as a public company. In addition, development of our product candidates requires a process of preclinical and clinical testing during which period our products could fail. We may not be able to enter into agreements with one or more companies experienced in the manufacturing and marketing of therapeutic drugs and, to the extent that we are unable to do so, we will not be able to market our product candidates. Our eventual profitability will depend on our success in developing, manufacturing, and marketing our product candidates, and we cannot assure you that we will be able to achieve profitability in the future.</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For example, our expenses could increase if we are required by the FDA, the EMA or other regulators to perform trials in addition to those that we currently expect to perform, or if there are any delays in completing our currently planned clinical trials or in the development of any of our product candidates.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become and remain profitable, we must succeed in developing and commercializing products that generate significant market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 those products for which we may obtain regulatory approval. We may never succeed in these activities and, even if we do, we may never generate revenue from product sales that is significant enough to achieve profitability. Our ability to generate future revenue from product sales depends heavily on our success in many areas, including but not limited to:</w:t>
      </w:r>
    </w:p>
    <w:p>
      <w:pPr>
        <w:spacing w:after="0" w:line="85" w:lineRule="exact"/>
        <w:rPr>
          <w:sz w:val="20"/>
          <w:szCs w:val="20"/>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for which we complete clinical trials;</w:t>
      </w:r>
    </w:p>
    <w:p>
      <w:pPr>
        <w:spacing w:after="0" w:line="117" w:lineRule="exact"/>
        <w:rPr>
          <w:rFonts w:ascii="Arial" w:cs="Arial" w:eastAsia="Arial" w:hAnsi="Arial"/>
          <w:sz w:val="18"/>
          <w:szCs w:val="18"/>
          <w:color w:val="auto"/>
        </w:rPr>
      </w:pPr>
    </w:p>
    <w:p>
      <w:pPr>
        <w:ind w:left="720" w:right="560" w:hanging="352"/>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73" w:lineRule="exact"/>
        <w:rPr>
          <w:rFonts w:ascii="Arial" w:cs="Arial" w:eastAsia="Arial" w:hAnsi="Arial"/>
          <w:sz w:val="18"/>
          <w:szCs w:val="18"/>
          <w:color w:val="auto"/>
        </w:rPr>
      </w:pPr>
    </w:p>
    <w:p>
      <w:pPr>
        <w:ind w:left="720" w:right="1200" w:hanging="35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either directly or with a collaborator or distributor;</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in the United States;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for any of our product candidates that receive marketing approval, if any, as viable treatment options;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30"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maintaining, protecting, enforcing and expanding our portfolio of intellectual property rights, including patents, trade secrets, and know-how; and</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76"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b w:val="1"/>
          <w:bCs w:val="1"/>
          <w:color w:val="auto"/>
        </w:rPr>
        <w:t>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w:t>
      </w:r>
    </w:p>
    <w:p>
      <w:pPr>
        <w:spacing w:after="0" w:line="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Although we anticipate that our available resources, excluding the proceeds from this offering, will be sufficient to meet our anticipated working capital needs for at least the next four months, we believe that we would need to raise approximately $12.0 million in additional funds in order to fund our operations for at least 12 months, mainly to support our research and development programs for EB612 and EB613. We anticipate that our current resources, together with the proceeds from this offering, will be sufficient to meet our anticipated working capital needs for at least 12 months, although we expect that we would still need to raise additional funds to support the execution of our long-term growth strategy, including for our planned Phase 2b/3 trial of EB612 as well as further development, trials and commercialization of our product candidates. We may require substantial additional financing at various intervals in order to continue our research and development programs, including significant requirements for operating expenses including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intellectual property protection and enforcement, pursuit of regulatory approvals, and commercialization of our products. We can provide no assurance that additional funding will be available on a timely basis, on terms acceptable to us, or at all. Because successful development of our product candidates is uncertain, we are unable to estimate the actual financing we will require to complete research and development and to commercialize our product candidates.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Our future financing requirements will depend on many factors, including but not limited to:</w:t>
      </w:r>
    </w:p>
    <w:p>
      <w:pPr>
        <w:spacing w:after="0" w:line="171" w:lineRule="exact"/>
        <w:rPr>
          <w:sz w:val="20"/>
          <w:szCs w:val="20"/>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sales, marketing, and distribution capabilities;</w:t>
      </w:r>
    </w:p>
    <w:p>
      <w:pPr>
        <w:spacing w:after="0" w:line="171" w:lineRule="exact"/>
        <w:rPr>
          <w:rFonts w:ascii="Arial" w:cs="Arial" w:eastAsia="Arial" w:hAnsi="Arial"/>
          <w:sz w:val="18"/>
          <w:szCs w:val="18"/>
          <w:color w:val="auto"/>
        </w:rPr>
      </w:pPr>
    </w:p>
    <w:p>
      <w:pPr>
        <w:ind w:left="720" w:right="1140" w:hanging="352"/>
        <w:spacing w:after="0" w:line="26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27"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or technologies;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71" w:lineRule="exact"/>
        <w:rPr>
          <w:rFonts w:ascii="Arial" w:cs="Arial" w:eastAsia="Arial" w:hAnsi="Arial"/>
          <w:sz w:val="18"/>
          <w:szCs w:val="18"/>
          <w:color w:val="auto"/>
        </w:rPr>
      </w:pPr>
    </w:p>
    <w:p>
      <w:pPr>
        <w:ind w:left="720" w:right="920" w:hanging="35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revenues, if any, we receive from commercial sales of any product candidates for which we receive marketing approval in the future;</w:t>
      </w:r>
    </w:p>
    <w:p>
      <w:pPr>
        <w:spacing w:after="0" w:line="116" w:lineRule="exact"/>
        <w:rPr>
          <w:rFonts w:ascii="Arial" w:cs="Arial" w:eastAsia="Arial" w:hAnsi="Arial"/>
          <w:sz w:val="18"/>
          <w:szCs w:val="18"/>
          <w:color w:val="auto"/>
        </w:rPr>
      </w:pPr>
    </w:p>
    <w:p>
      <w:pPr>
        <w:ind w:left="720" w:right="660" w:hanging="35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support our operations as a public company; and</w:t>
      </w:r>
    </w:p>
    <w:p>
      <w:pPr>
        <w:spacing w:after="0" w:line="116" w:lineRule="exact"/>
        <w:rPr>
          <w:rFonts w:ascii="Arial" w:cs="Arial" w:eastAsia="Arial" w:hAnsi="Arial"/>
          <w:sz w:val="18"/>
          <w:szCs w:val="18"/>
          <w:color w:val="auto"/>
        </w:rPr>
      </w:pPr>
    </w:p>
    <w:p>
      <w:pPr>
        <w:ind w:left="720" w:right="740" w:hanging="352"/>
        <w:spacing w:after="0" w:line="342"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economic and other terms, timing of and success of any collaboration, licensing, or other arrangements into which we may enter in the future, including the timing of achievement of milestones and receipt of any milestone or royalty payments under these agreements.</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financing on acceptable terms are not available when needed, or at all, we could be forced to significantly reduce operating expenses and delay, scale back or eliminate one or more of our development programs or our business operations or even go bankrupt.</w:t>
      </w:r>
    </w:p>
    <w:p>
      <w:pPr>
        <w:spacing w:after="0" w:line="16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color w:val="auto"/>
        </w:rPr>
        <w:t>Raising additional capital may cause dilution to our shareholders, including purchasers of the units in this offering, and these financings, or disputes with pre-IPO shareholders in connection therewith, may restrict our operations or require us to relinquish substantial rights or otherwise be costly.</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public or private equity offerings, debt financings, strategic collaborations and grant funding. We do not have any committed external sources of funds. To the extent that we raise additional capital through the sale of equity or convertible debt securities, your ownership interest will be diluted, and the terms of these new securities may include liquidation or other preferences that adversely affect your rights as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 distribution expenses and other</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will adversely impact our financial condition.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past we have incurred indebtedness that may convert into equity securities, including our ordinary shares, upon the election of the lender or upon certain automatic triggering events. Any such conversion may cause our holders of our ordinary shares to experience substantial dilution of their ownership interest. In addition, if such convertible indebtedness is not converted before maturity upon the triggering events, we will be required to repay such indebtedness, which may adversely affect our liquidity. See “Dilution” and “Management’s Discussion and Analysis of Financial Condition and Results of Operations — Contractual Obligations and Commitments — Convertible Loans.” In addition, shareholders who invested prior to the Company’s initial public offering may raise claims concerning their pre-existing contractual rights as lenders or shareholders or oppose actions taken by the Company with respect to the terms of existing or future financing transactions. Any such dispute could be time-consuming or costly to the Company or require us to seek alternative financing arrangements.</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71" w:lineRule="exact"/>
        <w:rPr>
          <w:sz w:val="20"/>
          <w:szCs w:val="20"/>
          <w:color w:val="auto"/>
        </w:rPr>
      </w:pPr>
    </w:p>
    <w:p>
      <w:pPr>
        <w:ind w:right="620"/>
        <w:spacing w:after="0" w:line="251" w:lineRule="auto"/>
        <w:rPr>
          <w:sz w:val="20"/>
          <w:szCs w:val="20"/>
          <w:color w:val="auto"/>
        </w:rPr>
      </w:pPr>
      <w:r>
        <w:rPr>
          <w:rFonts w:ascii="Arial" w:cs="Arial" w:eastAsia="Arial" w:hAnsi="Arial"/>
          <w:sz w:val="18"/>
          <w:szCs w:val="18"/>
          <w:b w:val="1"/>
          <w:bCs w:val="1"/>
          <w:color w:val="auto"/>
        </w:rPr>
        <w:t>We have a limited operating history and no history of commercializing pharmaceutical products, which may make it difficult to evaluate the prospects for our future viability.</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began operations in 2010. Our operations to date have been limited to financing and staffing our company, developing our drug delivery technology and developing our product candidates. We have not yet demonstrated an ability successfully to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7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b w:val="1"/>
          <w:b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Following the completion of this offering, we will be required to comply with various regulatory and reporting requirements, including those required by the Securities and Exchange Commission, or the SEC. Complying with these reporting and regulatory requirements will be time consuming, result in increased costs to us and could have a negative effect on our business, results of operations and financial condition.</w:t>
      </w:r>
    </w:p>
    <w:p>
      <w:pPr>
        <w:spacing w:after="0" w:line="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and the requirements of the Sarbanes-Oxley Act of 2002, as amended, or the Sarbanes-Oxley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will be implementing additional procedures and processes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As an “emerging growth company,” as defined in the Jumpstart Our Business Startups Act, or the JOBS Act, we may take advantage of certain temporary exemptions from various reporting requirements including, but not limited to, not being required to comply with the auditor attestation requirements of</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Section 404 of the Sarbanes-Oxley Act and the rules and regulations of the SEC thereunder. We plan to take advantage of these exemptions but we cannot guarantee that we will not be required to implement these requirements sooner than budgeted or planned and thereby incur unexpected expenses. We will remain an “emerging growth company” until the earliest of: (a) the last day of our fiscal year during which we have total annual gross revenues of at least $1.07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We cannot predict or estimate the amount of additional costs we may incur as a result of becoming a public company or the timing of such costs.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applied to list our ordinary shares and warrants on the NASDAQ Capital Market and, although no assurance can be given that our application will be approved, we expect that our ordinary shares and warrants will be listed on the NASDAQ Capital Market prior to the completion of this offering. As a public company listed on the NASDAQ Capital Market, we will incur significant legal, accounting and other expenses that we did not incur prior to the listing of our ordinary shares on the NASDAQ Capital Market.</w:t>
      </w:r>
    </w:p>
    <w:p>
      <w:pPr>
        <w:spacing w:after="0" w:line="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changing laws, regulations and standards, in the United States or Israel, relating to corporate governance and public disclosure and other matters, may be implemented in the future, which may increase our legal and financial compliance costs, make some activities more time consuming and divert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publicly traded company in the United States and being subject to U.S.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qualified executive officers.</w:t>
      </w:r>
    </w:p>
    <w:p>
      <w:pPr>
        <w:spacing w:after="0" w:line="161" w:lineRule="exact"/>
        <w:rPr>
          <w:sz w:val="20"/>
          <w:szCs w:val="20"/>
          <w:color w:val="auto"/>
        </w:rPr>
      </w:pPr>
    </w:p>
    <w:p>
      <w:pPr>
        <w:ind w:right="640"/>
        <w:spacing w:after="0" w:line="251" w:lineRule="auto"/>
        <w:rPr>
          <w:sz w:val="20"/>
          <w:szCs w:val="20"/>
          <w:color w:val="auto"/>
        </w:rPr>
      </w:pPr>
      <w:r>
        <w:rPr>
          <w:rFonts w:ascii="Arial" w:cs="Arial" w:eastAsia="Arial" w:hAnsi="Arial"/>
          <w:sz w:val="18"/>
          <w:szCs w:val="18"/>
          <w:b w:val="1"/>
          <w:bCs w:val="1"/>
          <w:color w:val="auto"/>
        </w:rPr>
        <w:t>We manage our business and develop our technology with a small number of employees and key consultants, and in the event of their loss or unavailability we may not be able to grow our business or develop and commercialize our products.</w:t>
      </w:r>
    </w:p>
    <w:p>
      <w:pPr>
        <w:spacing w:after="0" w:line="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currently depend upon the efforts and abilities of our senior executives, including Dr. Phillip Schwartz, our Chief Executive Officer, and a small number of employees and key consultants. Our success depends upon the continued contributions of these senior executives, employees and consultants, many of whom have substantial scientific and technical experience with, and have been instrumental for, us and our technologies. The loss of our senior executives or senior scientists could delay our research and development activities. We do not maintain “key man” life insurance policies for any of our employees.</w:t>
      </w:r>
    </w:p>
    <w:p>
      <w:pPr>
        <w:spacing w:after="0" w:line="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Recruiting and retaining qualified scientific personnel to perform future research and development work will be critical to our success. Competition for skilled personnel is intense and turnover rates are high, and our ability to attract and retain qualified personnel may be limited. The loss or unavailability of the services of any of these individuals for any significant period of time or our inability to attract and retain qualified skilled personnel could have a material adverse effect on our business, technology, prospects, financial condition and results of operations.</w:t>
      </w:r>
    </w:p>
    <w:p>
      <w:pPr>
        <w:spacing w:after="0" w:line="154" w:lineRule="exact"/>
        <w:rPr>
          <w:sz w:val="20"/>
          <w:szCs w:val="20"/>
          <w:color w:val="auto"/>
        </w:rPr>
      </w:pPr>
    </w:p>
    <w:p>
      <w:pPr>
        <w:jc w:val="both"/>
        <w:ind w:right="520"/>
        <w:spacing w:after="0" w:line="236" w:lineRule="auto"/>
        <w:rPr>
          <w:sz w:val="20"/>
          <w:szCs w:val="20"/>
          <w:color w:val="auto"/>
        </w:rPr>
      </w:pPr>
      <w:r>
        <w:rPr>
          <w:rFonts w:ascii="Arial" w:cs="Arial" w:eastAsia="Arial" w:hAnsi="Arial"/>
          <w:sz w:val="18"/>
          <w:szCs w:val="18"/>
          <w:b w:val="1"/>
          <w:bCs w:val="1"/>
          <w:color w:val="auto"/>
        </w:rPr>
        <w:t>We expect to grow our organization, particularly in the United States, specifically to supplement and expand our senior management, clinical development and regulatory capabilities and marketing infrastructure, and we may experience difficulties in managing these changes and this growth, which could disrupt our operations.</w:t>
      </w:r>
    </w:p>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our clinical development and commercialization plans and strategies develop, we expect to supplement and expand our employee base, particularly in the United States, for clinical development, regulatory, operational, sales, marketing, financial and other capabilities and with senior managers who are either based in the U.S. or who have significant U.S. public company experience. In particular, following this offering, we intend to make significant additions and changes to our executive management team. These changes may result in significant shifting of responsibilities or replacement of key personnel. The need to identify, recruit, maintain, motivate and integrate additional employees and senior members of</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management, including senior executives, is expected to impose significant responsibilities on our senior executives and may divert a disproportionate amount of their attention away from our day-to-day activities. The addition of such employees and managers may have an impact on the decisions that we make over time.</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conjunction with the addition of these employees and senior members of management, we intend to grow our company. Due to our limited financial resources and the limited experience of our management team, it is possible that our management, finance, development personnel, systems and facilities currently in place may not be adequate to support this future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 revenue could be reduced and we may not be able to implement our strategy. Our future financial performance and our ability to develop our product candidates and compete effectively with others in our industry will depend, in part, on our ability to effectively manage any future growth. In addition, pursuant to both Israeli law and the NASDAQ Capital Market listing requirements, and in accordance with the applicable transition rules, we will be required to appoint additional independent directors, which may result in a change in the company’s direction over time, as discussed in further detail in “Management —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or hire additional qualified executive talent, our ability to grow our business may be harmed.</w:t>
      </w:r>
    </w:p>
    <w:p>
      <w:pPr>
        <w:spacing w:after="0" w:line="10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Following this offering, and as part of our efforts to grow our organization, we intend to add to our senior executive ranks. There can be no assurances concerning the timing or outcome of our search for new senior executive talent. Any transition in executive leadership can be inherently difficult to manage and may cause disruption to our business or loss of institutional knowledge, and our results of operations and financial condition could suffer as a result.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Clinical Development of Our Product Candidates</w:t>
      </w:r>
    </w:p>
    <w:p>
      <w:pPr>
        <w:spacing w:after="0" w:line="19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color w:val="auto"/>
        </w:rPr>
        <w:t>All of our product candidates are in preclinical or clinical development. Clinical drug development is expensive, time consuming and uncertain, and we may ultimately not be able to obtain regulatory approvals for the commercialization of some or all of our product candidates.</w:t>
      </w:r>
    </w:p>
    <w:p>
      <w:pPr>
        <w:spacing w:after="0" w:line="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research, testing, manufacturing, labeling, approval, selling, marketing and distribution of drug products are subject to extensive regulation by the U.S. Food and Drug Administration, or FDA, European Union, and EU Member State legislators and agencies, such as the European Medicines Agency, or EMA, and other non-U.S. regulatory authorities, which enforce regulations that differ from country to country. We are not permitted to market our product candidates in the United States until we receive approval of a BLA from the FDA or in any other country until we receive marketing approval from applicable regulatory authorities outside the United States. Our product candidates are in various stages of development and are subject to the risks of failure inherent in drug development. We have not submitted an application, or received marketing approval, for any of our product candidates. We have limited experience in conducting and managing the clinical trials necessary to obtain regulatory approvals, including approval by the FDA or the EMA. Obtaining approval of a BLA or other marketing application can be a lengthy, expensive and uncertain process.</w:t>
      </w:r>
    </w:p>
    <w:p>
      <w:pPr>
        <w:spacing w:after="0" w:line="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present, our lead product candidate is EB612, our oral PTH (1-34) tablet, which is under development for the treatment of hypoparathyroidism. We are also developing EB613, an additional oral PTH (1-34) product candidate, with significant modifications to dose and potentially to formulation, for the treatment of osteoporosis. Each of our oral PTH product candidates, including EB612 and EB613, are in an early stage of clinical development and face a variety of risks and uncertainties, including the following:</w:t>
      </w:r>
    </w:p>
    <w:p>
      <w:pPr>
        <w:spacing w:after="0" w:line="160" w:lineRule="exact"/>
        <w:rPr>
          <w:sz w:val="20"/>
          <w:szCs w:val="20"/>
          <w:color w:val="auto"/>
        </w:rPr>
      </w:pPr>
    </w:p>
    <w:p>
      <w:pPr>
        <w:ind w:left="720" w:right="600" w:hanging="352"/>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clinical trial results may show that our oral PTH (1-34) is not effective for many reasons, including if our drug delivery technology is not effective, our product candidates are not effective, our clinical trial designs are flawed or clinical trial subjects do not comply with trial protocols;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be well tolerated or may cause negative side effects;</w:t>
      </w:r>
    </w:p>
    <w:p>
      <w:pPr>
        <w:spacing w:after="0" w:line="144" w:lineRule="exact"/>
        <w:rPr>
          <w:rFonts w:ascii="Arial" w:cs="Arial" w:eastAsia="Arial" w:hAnsi="Arial"/>
          <w:sz w:val="18"/>
          <w:szCs w:val="18"/>
          <w:color w:val="auto"/>
        </w:rPr>
      </w:pPr>
    </w:p>
    <w:p>
      <w:pPr>
        <w:jc w:val="both"/>
        <w:ind w:left="720" w:right="640" w:hanging="352"/>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p>
      <w:pPr>
        <w:spacing w:after="0" w:line="86" w:lineRule="exact"/>
        <w:rPr>
          <w:rFonts w:ascii="Arial" w:cs="Arial" w:eastAsia="Arial" w:hAnsi="Arial"/>
          <w:sz w:val="18"/>
          <w:szCs w:val="18"/>
          <w:color w:val="auto"/>
        </w:rPr>
      </w:pPr>
    </w:p>
    <w:p>
      <w:pPr>
        <w:ind w:left="720" w:right="1140" w:hanging="352"/>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oral PTH is shown to be safe and effective for its intended purposes, we may face significant or unforeseen difficulties in obtaining or manufacturing sufficient quantities at reasonable prices, or at all;</w:t>
      </w:r>
    </w:p>
    <w:p>
      <w:pPr>
        <w:spacing w:after="0" w:line="75" w:lineRule="exact"/>
        <w:rPr>
          <w:rFonts w:ascii="Arial" w:cs="Arial" w:eastAsia="Arial" w:hAnsi="Arial"/>
          <w:sz w:val="18"/>
          <w:szCs w:val="18"/>
          <w:color w:val="auto"/>
        </w:rPr>
      </w:pPr>
    </w:p>
    <w:p>
      <w:pPr>
        <w:ind w:left="720" w:right="1240" w:hanging="352"/>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there is no guarantee that there will be market acceptance;</w:t>
      </w:r>
    </w:p>
    <w:p>
      <w:pPr>
        <w:spacing w:after="0" w:line="89" w:lineRule="exact"/>
        <w:rPr>
          <w:rFonts w:ascii="Arial" w:cs="Arial" w:eastAsia="Arial" w:hAnsi="Arial"/>
          <w:sz w:val="18"/>
          <w:szCs w:val="18"/>
          <w:color w:val="auto"/>
        </w:rPr>
      </w:pPr>
    </w:p>
    <w:p>
      <w:pPr>
        <w:ind w:left="720" w:right="640" w:hanging="352"/>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for the treatment of hypoparathyroidism, there is no guarantee that we will successfully develop and commercialize it for other indications, including osteoporosis and nonunion fractures; and</w:t>
      </w:r>
    </w:p>
    <w:p>
      <w:pPr>
        <w:spacing w:after="0" w:line="86" w:lineRule="exact"/>
        <w:rPr>
          <w:rFonts w:ascii="Arial" w:cs="Arial" w:eastAsia="Arial" w:hAnsi="Arial"/>
          <w:sz w:val="18"/>
          <w:szCs w:val="18"/>
          <w:color w:val="auto"/>
        </w:rPr>
      </w:pPr>
    </w:p>
    <w:p>
      <w:pPr>
        <w:ind w:left="720" w:right="1200" w:hanging="352"/>
        <w:spacing w:after="0" w:line="34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competitors may develop therapeutics or other treatments that are superior to or less costly than our own with the result that our products, even if they are successfully developed, manufactured and approved, may not generate significant revenues.</w:t>
      </w:r>
    </w:p>
    <w:p>
      <w:pPr>
        <w:spacing w:after="0" w:line="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we are unsuccessful in dealing with any of these risks, or if we are unable to successfully commercialize our oral PTH for some other reason, it would likely have a material adverse effect on our business, prospects, financial condition and results of operations. In addition, in the event we are able to successfully commercialize our oral PTH, we may sell the tablets at a discounted sales price for the initial period in order to gain market acceptance of the product, which could adversely affect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commencement and completion of clinical trials can be delayed or prevented for a number of reasons.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Upon the completion and evaluation of our planned pharmacokinetic/pharmacodynamic, or PK/PD, clinical trial in EB612 and, subject to receipt of additional funding, we plan to initiate a Phase 2b/3 clinical trial of EB612 in hypoparathyroidism that would potentially support a submission for regulatory approval of EB612. For our EB613 product candidate in osteoporosis, our intent is to seek FDA guidance regarding our clinical trial design, endpoints and other parameters as part of a Pre-IND meeting with the FDA in the second half of 2018. We also plan in the future to conduct clinical trials of a formulation of oral PTH for the treatment of non-union fractures. Drug development is a long, expensive and uncertain process, and delay or failure can occur at any stage of any of our clinical trials. Clinical trials can be delayed or prevented for a number of reasons, including:</w:t>
      </w:r>
    </w:p>
    <w:p>
      <w:pPr>
        <w:spacing w:after="0" w:line="84" w:lineRule="exact"/>
        <w:rPr>
          <w:sz w:val="20"/>
          <w:szCs w:val="20"/>
          <w:color w:val="auto"/>
        </w:rPr>
      </w:pPr>
    </w:p>
    <w:p>
      <w:pPr>
        <w:ind w:left="720" w:right="1020" w:hanging="352"/>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89" w:lineRule="exact"/>
        <w:rPr>
          <w:rFonts w:ascii="Arial" w:cs="Arial" w:eastAsia="Arial" w:hAnsi="Arial"/>
          <w:sz w:val="18"/>
          <w:szCs w:val="18"/>
          <w:color w:val="auto"/>
        </w:rPr>
      </w:pPr>
    </w:p>
    <w:p>
      <w:pPr>
        <w:ind w:left="720" w:right="1280" w:hanging="352"/>
        <w:spacing w:after="0" w:line="342"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contract research organizations, contract manufacturing organizations, and trial sites, the terms of which can be subject to extensive negotiation and may vary significantly;</w:t>
      </w:r>
    </w:p>
    <w:p>
      <w:pPr>
        <w:spacing w:after="0" w:line="29" w:lineRule="exact"/>
        <w:rPr>
          <w:rFonts w:ascii="Arial" w:cs="Arial" w:eastAsia="Arial" w:hAnsi="Arial"/>
          <w:sz w:val="16"/>
          <w:szCs w:val="16"/>
          <w:color w:val="auto"/>
        </w:rPr>
      </w:pPr>
    </w:p>
    <w:p>
      <w:pPr>
        <w:ind w:left="720" w:right="640" w:hanging="352"/>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third-party contractors, such as contract research organizations and contract manufacturing organizations, or our investigators to comply with regulatory requirements or otherwise meet their contractual obligations in a timely manner;</w:t>
      </w:r>
    </w:p>
    <w:p>
      <w:pPr>
        <w:spacing w:after="0" w:line="89"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or ethics committee approval to conduct a clinical trial at a prospective site;</w:t>
      </w:r>
    </w:p>
    <w:p>
      <w:pPr>
        <w:spacing w:after="0" w:line="130"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EMA or other regulatory authority requiring alterations to any of our study designs, our pre-clinical strategy or our manufacturing plans;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560" w:hanging="352"/>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 volunteer for a trial, the availability of approved effective treatments for the relevant disease and competition from other clinical trial programs for similar indications;</w:t>
      </w:r>
    </w:p>
    <w:p>
      <w:pPr>
        <w:spacing w:after="0" w:line="92"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agencies.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Changes in regulatory requirements and guidance may also occur and we may need to significantly amend clinical trial protocols or submit new clinical trial protocols with appropriate regulatory authorities to reflect these changes. Amendments may require us to renegotiate terms with contract research organizations, or CROs, or resubmit clinical trial protocols to IRBs or ethics committees for re-examination, which may impact the costs, timing or successful completion of a clinical trial. Our clinical trials may be suspended or terminated at any time by the FDA, other regulatory authorities, the IRB or ethics committee overseeing the clinical trial at issue, any of our clinical trial sites with respect to that site, or us, due to a number of factors, including:</w:t>
      </w:r>
    </w:p>
    <w:p>
      <w:pPr>
        <w:spacing w:after="0" w:line="64" w:lineRule="exact"/>
        <w:rPr>
          <w:sz w:val="20"/>
          <w:szCs w:val="20"/>
          <w:color w:val="auto"/>
        </w:rPr>
      </w:pPr>
    </w:p>
    <w:p>
      <w:pPr>
        <w:ind w:left="720" w:hanging="35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findings of an inspection of the clinical trial operations or trial sites by the FDA or other regulatory authorities;</w:t>
      </w:r>
    </w:p>
    <w:p>
      <w:pPr>
        <w:spacing w:after="0" w:line="144"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issues, including serious adverse events associated with a product candidate, or lack of effectiveness or any determination that a clinical trial presents unacceptable health risks;</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130" w:lineRule="exact"/>
        <w:rPr>
          <w:rFonts w:ascii="Arial" w:cs="Arial" w:eastAsia="Arial" w:hAnsi="Arial"/>
          <w:sz w:val="18"/>
          <w:szCs w:val="18"/>
          <w:color w:val="auto"/>
        </w:rPr>
      </w:pPr>
    </w:p>
    <w:p>
      <w:pPr>
        <w:ind w:left="720" w:right="1360" w:hanging="352"/>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8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we do not succeed in conducting and managing our preclinical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preclinical testing. We will be required to</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demonstrate with substantial evidence through well-controlled clinical trials that our product candidates are safe and effective for use in a diverse population before we can seek regulatory approvals for their commercial sale. Success in early clinical trials does not mean that future clinical trials will be successful because product candidates in later-stage clinical trials may fail to demonstrate sufficient safety and efficacy to the satisfaction of the FDA and non-U.S. regulatory authorities despite having progressed through initial clinical trials. Product candidates that have shown promising results in early clinical trials may still suffer significant setbacks in subsequent clinical trials. Similarly, the outcome of preclinical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7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In addition, we may have little control over whether subjects comply with important aspects of clinical trial protocols. In particular, in trials of our oral PTH, if subjects do not comply with restrictions on eating and drinking before and after administration of our product candidates, interaction between the drug and food in the gastrointestinal tract, or a “food effect,” may decrease the bioavailability and increase the variability of drug delivered to the subject, which may negatively affect efficacy.</w:t>
      </w:r>
    </w:p>
    <w:p>
      <w:pPr>
        <w:spacing w:after="0" w:line="5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w:t>
      </w:r>
    </w:p>
    <w:p>
      <w:pPr>
        <w:spacing w:after="0" w:line="254" w:lineRule="auto"/>
        <w:rPr>
          <w:sz w:val="20"/>
          <w:szCs w:val="20"/>
          <w:color w:val="auto"/>
        </w:rPr>
      </w:pPr>
      <w:r>
        <w:rPr>
          <w:rFonts w:ascii="Arial" w:cs="Arial" w:eastAsia="Arial" w:hAnsi="Arial"/>
          <w:sz w:val="18"/>
          <w:szCs w:val="18"/>
          <w:color w:val="auto"/>
        </w:rPr>
        <w:t>clinical trial participants. While our oral PTH product candidates have exhibited no serious related adverse events in our clinical trials to date, we may need to change future trial design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spacing w:after="0" w:line="172"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b w:val="1"/>
          <w:bCs w:val="1"/>
          <w:color w:val="auto"/>
        </w:rPr>
        <w:t>We depend on enrollment of patients in our clinical trials for our product candidates. If we are unable to enroll patients in our clinical trials, our research and development efforts could be materially adversely affected.</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Successful and timely completion of clinical trials will require that we enroll a sufficient number of subjects.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availability of competing clinical trials, the availability of drugs approved for the indication the clinical trial is investigating, and clinicians’ and patients’ perceptions as to the potential advantages of the product being studied in relation to other available therapies. Our product candidate EB612 has orphan drug designation for the treatment of hypoparathyroidism, which means that the potential patient population is limited. In addition, there may be other marketed drugs or drugs in development for hypoparathyroidism, and we may compete for patients with such marketed drugs, such as Natpara, or the sponsors of trials for drugs in development. These factors may make it difficult for us to enroll enough subjects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use and expand our drug delivery technology to other product candidates.</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key element of our strategy is to use and expand our oral drug delivery technology platform to build a pipeline of product candidates and progress these product candidates through clinical development for the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treatment of a variety of different types of diseases. Our strategy is to focus on the development of our oral drug delivery technology in combination with a known active pharmaceutical ingredient, or API, to validate our platform and potentially minimize risk and development timelines. We intend, by utilizing this approach, to both validate and enhance the credibility of our platform. We intend to use our technology as a platform for the oral delivery of other protein and large molecule APIs.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initial product candidates combine our oral drug delivery technology with PTH, a hormone that has been used in injectable form for many years for osteoporosis. Our business is substantially dependent on our ability to complete the development of, obtain regulatory approval for, and successfully commercialize our oral PTH product candidates in a timely manner. If we are unable to validate our oral drug delivery technology with our PTH product candidates, in particular our lead candidate EB612, we may be unsuccessful in leveraging our oral drug delivery technology for use with other APIs. In addition, we must significantly modify the formulation of EB612 to develop new formulations for applications in osteoporosis and other indications. If we are not successful in optimizing the formation of our PTH product candidates for additional indications, or if we are not otherwise able to obtain regulatory approval for them or successfully commercialize them, our business and prospects may be severely limited due to the small size of the population with hypoparathyroidism.</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our technology makes use of synthetically bioengineered ingredients. Our oral PTH is a synthetic form of the first 34 amino acids of human PTH to which we have applied our proprietary drug delivery technology. Although our product candidates utilize a synthesized PTH molecule with a known mechanism of action, they may cause patients to exhibit safety or immune responses that do not match the biological effect of a human protein. Such responses could result in increased regulatory scrutiny, delays or other impediments to our planned development or the public acceptance and commercialization of our products.</w:t>
      </w:r>
    </w:p>
    <w:p>
      <w:pPr>
        <w:spacing w:after="0" w:line="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Even if we are successful in expanding our drug delivery technology to other APIs for other indications, the potential product candidates that we identify may not be suitable for clinical development, including as a</w:t>
      </w:r>
    </w:p>
    <w:p>
      <w:pPr>
        <w:spacing w:after="0" w:line="1" w:lineRule="exact"/>
        <w:rPr>
          <w:sz w:val="20"/>
          <w:szCs w:val="20"/>
          <w:color w:val="auto"/>
        </w:rPr>
      </w:pPr>
    </w:p>
    <w:p>
      <w:pPr>
        <w:jc w:val="both"/>
        <w:ind w:right="560"/>
        <w:spacing w:after="0" w:line="255" w:lineRule="auto"/>
        <w:rPr>
          <w:sz w:val="20"/>
          <w:szCs w:val="20"/>
          <w:color w:val="auto"/>
        </w:rPr>
      </w:pPr>
      <w:r>
        <w:rPr>
          <w:rFonts w:ascii="Arial" w:cs="Arial" w:eastAsia="Arial" w:hAnsi="Arial"/>
          <w:sz w:val="18"/>
          <w:szCs w:val="18"/>
          <w:color w:val="auto"/>
        </w:rPr>
        <w:t>result of being shown to have harmful side effects or other characteristics that indicate that they are unlikely to be products that will receive marketing approval and achieve market acceptance. We may never successfully develop or commercialize our technology with other APIs, which could limit our business and prospects.</w:t>
      </w:r>
    </w:p>
    <w:p>
      <w:pPr>
        <w:spacing w:after="0" w:line="17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Our product candidates may have serious adverse, undesirable or unacceptable side effects that may delay or prevent marketing approval. If any such side effects are identified during the development of our product candidates or following any regulatory approval, we may need to abandon our development of such product candidates, any approved label may be limited or we may be subject to other significant negative consequences following regulatory approval.</w:t>
      </w:r>
    </w:p>
    <w:p>
      <w:pPr>
        <w:spacing w:after="0" w:line="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all of our product candidates have undergone or will undergo safety testing to the extent possible and agreed with health authorities, not all adverse effects of drugs can be predicted or anticipated. Unforeseen side effects from any of our product candidates could arise either during clinical development or, if such side effects are more rare, after our product candidates have been approved by regulatory authorities and the approved product has been marketed, resulting in the exposure of additional patients. All of our product candidates are still in clinical or preclinical development. While our oral PTH has exhibited no serious related adverse events in our clinical trials to date,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 For instance, other PTH products have been issued with labels that disclose a potential risk of osteosarcoma.</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81" w:lineRule="exact"/>
        <w:rPr>
          <w:sz w:val="20"/>
          <w:szCs w:val="20"/>
          <w:color w:val="auto"/>
        </w:rPr>
      </w:pPr>
    </w:p>
    <w:p>
      <w:pPr>
        <w:ind w:left="720" w:hanging="35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57" w:lineRule="exact"/>
        <w:rPr>
          <w:rFonts w:ascii="Arial" w:cs="Arial" w:eastAsia="Arial" w:hAnsi="Arial"/>
          <w:sz w:val="18"/>
          <w:szCs w:val="18"/>
          <w:color w:val="auto"/>
        </w:rPr>
      </w:pPr>
    </w:p>
    <w:p>
      <w:pPr>
        <w:ind w:left="720" w:right="660" w:hanging="352"/>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hanging="352"/>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128" w:lineRule="exact"/>
        <w:rPr>
          <w:rFonts w:ascii="Arial" w:cs="Arial" w:eastAsia="Arial" w:hAnsi="Arial"/>
          <w:sz w:val="17"/>
          <w:szCs w:val="17"/>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of these events could prevent us or our potential future collaborators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64"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b w:val="1"/>
          <w:bCs w:val="1"/>
          <w:color w:val="auto"/>
        </w:rPr>
        <w:t>Due to our limited resources and access to capital, we must and have in the past decided to prioritize development of certain product candidates; these decisions may prove to have been wrong and may adversely affect our revenues.</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As such, we are currently primarily focused on the development of EB612 and EB613 for the treatment of hypoparathyroidism and osteoporosis, respectively.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opportunities. If we make incorrect determinations regarding the market potential of our product candidates or misread trends in the biopharmaceutical industry, our business, financial condition and results of operations could be materially adversely affected.</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disruption of our drug development programs.</w:t>
      </w:r>
    </w:p>
    <w:p>
      <w:pPr>
        <w:spacing w:after="0" w:line="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Approval of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regulatory approval even after clinical trials that are believed to be successful is an uncertain process.</w:t>
      </w:r>
    </w:p>
    <w:p>
      <w:pPr>
        <w:spacing w:after="0" w:line="1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regulatory approval is an extensive, lengthy, expensive and uncertain process, and the FDA, EMA and other regulatory agencies may delay, limit or deny approval of our oral PTH for many reasons, including:</w:t>
      </w:r>
    </w:p>
    <w:p>
      <w:pPr>
        <w:spacing w:after="0" w:line="87" w:lineRule="exact"/>
        <w:rPr>
          <w:sz w:val="20"/>
          <w:szCs w:val="20"/>
          <w:color w:val="auto"/>
        </w:rPr>
      </w:pPr>
    </w:p>
    <w:p>
      <w:pPr>
        <w:ind w:left="720" w:right="600" w:hanging="352"/>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EMA or other regulatory agencies that our oral PTH is safe and effective for any indication;</w:t>
      </w:r>
    </w:p>
    <w:p>
      <w:pPr>
        <w:spacing w:after="0" w:line="62" w:lineRule="exact"/>
        <w:rPr>
          <w:rFonts w:ascii="Arial" w:cs="Arial" w:eastAsia="Arial" w:hAnsi="Arial"/>
          <w:sz w:val="18"/>
          <w:szCs w:val="18"/>
          <w:color w:val="auto"/>
        </w:rPr>
      </w:pPr>
    </w:p>
    <w:p>
      <w:pPr>
        <w:ind w:left="720" w:right="880" w:hanging="352"/>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EMA or other regulatory agencies for approval;</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92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require that EB613 meet additional requirements to obtain regulatory approval for the treatment of osteoporosis, a much larger indication than hypoparathyroidism;</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EMA or other regulatory agencies may disagree with the number, design, size, conduct or implementation of our clinical trials;</w:t>
      </w:r>
    </w:p>
    <w:p>
      <w:pPr>
        <w:spacing w:after="0" w:line="196" w:lineRule="exact"/>
        <w:rPr>
          <w:rFonts w:ascii="Arial" w:cs="Arial" w:eastAsia="Arial" w:hAnsi="Arial"/>
          <w:sz w:val="17"/>
          <w:szCs w:val="17"/>
          <w:color w:val="auto"/>
        </w:rPr>
      </w:pPr>
    </w:p>
    <w:p>
      <w:pPr>
        <w:ind w:left="720" w:right="68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not find the data from pre-clinical studies and clinical trials sufficient to demonstrate that our oral PTH’s clinical and other benefits outweigh its safety risks;</w:t>
      </w:r>
    </w:p>
    <w:p>
      <w:pPr>
        <w:spacing w:after="0" w:line="116" w:lineRule="exact"/>
        <w:rPr>
          <w:rFonts w:ascii="Arial" w:cs="Arial" w:eastAsia="Arial" w:hAnsi="Arial"/>
          <w:sz w:val="18"/>
          <w:szCs w:val="18"/>
          <w:color w:val="auto"/>
        </w:rPr>
      </w:pPr>
    </w:p>
    <w:p>
      <w:pPr>
        <w:ind w:left="720" w:right="72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disagree with our interpretation of data from pre-clinical studies or clinical trials, or may not accept data generated at our clinical trial sites;</w:t>
      </w:r>
    </w:p>
    <w:p>
      <w:pPr>
        <w:spacing w:after="0" w:line="129" w:lineRule="exact"/>
        <w:rPr>
          <w:rFonts w:ascii="Arial" w:cs="Arial" w:eastAsia="Arial" w:hAnsi="Arial"/>
          <w:sz w:val="18"/>
          <w:szCs w:val="18"/>
          <w:color w:val="auto"/>
        </w:rPr>
      </w:pPr>
    </w:p>
    <w:p>
      <w:pPr>
        <w:ind w:left="720" w:right="52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not recognize a synthesized molecule like the synthesized PTH molecule that is used in our oral PTH formulation;</w:t>
      </w:r>
    </w:p>
    <w:p>
      <w:pPr>
        <w:spacing w:after="0" w:line="116" w:lineRule="exact"/>
        <w:rPr>
          <w:rFonts w:ascii="Arial" w:cs="Arial" w:eastAsia="Arial" w:hAnsi="Arial"/>
          <w:sz w:val="18"/>
          <w:szCs w:val="18"/>
          <w:color w:val="auto"/>
        </w:rPr>
      </w:pPr>
    </w:p>
    <w:p>
      <w:pPr>
        <w:ind w:left="720" w:right="126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our oral PTH may not be sufficient to support the submission of an application for regulatory approval;</w:t>
      </w:r>
    </w:p>
    <w:p>
      <w:pPr>
        <w:spacing w:after="0" w:line="129" w:lineRule="exact"/>
        <w:rPr>
          <w:rFonts w:ascii="Arial" w:cs="Arial" w:eastAsia="Arial" w:hAnsi="Arial"/>
          <w:sz w:val="18"/>
          <w:szCs w:val="18"/>
          <w:color w:val="auto"/>
        </w:rPr>
      </w:pPr>
    </w:p>
    <w:p>
      <w:pPr>
        <w:ind w:left="720" w:right="740" w:hanging="352"/>
        <w:spacing w:after="0" w:line="26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40" w:lineRule="exact"/>
        <w:rPr>
          <w:rFonts w:ascii="Arial" w:cs="Arial" w:eastAsia="Arial" w:hAnsi="Arial"/>
          <w:sz w:val="18"/>
          <w:szCs w:val="18"/>
          <w:color w:val="auto"/>
        </w:rPr>
      </w:pPr>
    </w:p>
    <w:p>
      <w:pPr>
        <w:ind w:left="720" w:hanging="35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184" w:lineRule="exact"/>
        <w:rPr>
          <w:rFonts w:ascii="Arial" w:cs="Arial" w:eastAsia="Arial" w:hAnsi="Arial"/>
          <w:sz w:val="18"/>
          <w:szCs w:val="18"/>
          <w:color w:val="auto"/>
        </w:rPr>
      </w:pPr>
    </w:p>
    <w:p>
      <w:pPr>
        <w:ind w:left="720" w:right="150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identify deficiencies in the manufacturing processes or facilities of third party manufacturers with which we enter into agreements for clinical and commercial supplies;</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change their approval policies or adopt new regulations; and</w:t>
      </w:r>
    </w:p>
    <w:p>
      <w:pPr>
        <w:spacing w:after="0" w:line="184" w:lineRule="exact"/>
        <w:rPr>
          <w:rFonts w:ascii="Arial" w:cs="Arial" w:eastAsia="Arial" w:hAnsi="Arial"/>
          <w:sz w:val="18"/>
          <w:szCs w:val="18"/>
          <w:color w:val="auto"/>
        </w:rPr>
      </w:pPr>
    </w:p>
    <w:p>
      <w:pPr>
        <w:ind w:left="720" w:right="780" w:hanging="352"/>
        <w:spacing w:after="0" w:line="342"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EMA or other regulatory agencies may require simultaneous approval for both adults and for children and adolescents delaying needed approvals, or we may have successful clinical trial results for adults but not children and adolescents, or vice versa.</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Before we can submit an application for regulatory approval in the United States, we must conduct a pivotal trial that will be substantially broader than our completed Phase 2a trial. We will also need to agree on a protocol with the FDA for a clinical trial before commencing the trial. Phase 3 clinical trials frequently produce unsatisfactory results even though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The FDA, the EMA or other non-U.S. regulatory authorities may disagree with our trial design and our interpretation of data from preclinical studies and clinical trials. Moreover, there is no FDA guidance on the acceptable level of variability in orally delivered products with large molecule APIs, and, therefore we are unable to be certain that we are designing our product candidates or clinical trials to satisfy the FDA in this regard. In addition, any of these regulatory authorities may change requirements for the approval of a product candidate even after reviewing and providing comments or advice on a protocol for a clinical trial. The FDA, EMA or other regulatory agencies may require that we conduct additional clinical, nonclinical,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(1-34) tablet.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not accept the labeling claims that we believe would be necessary or desirable for the successful commercialization of our product candidates.</w:t>
      </w:r>
    </w:p>
    <w:p>
      <w:pPr>
        <w:spacing w:after="0" w:line="154"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In order to obtain FDA approval for EB612 prior to the expiration of Natpara’s orphan drug exclusivity in 2022, we need to show that EB612 is clinically superior or otherwise makes a major contribution to patient care. Moreover, although we have obtained orphan drug designation for EB612 for the treatment of hypoparathyroidism, we may be unable to maintain the benefits associated with orphan drug designation, including the potential for market exclusivity.</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candidate as an orphan drug if it is a drug intended to treat a rare disease or condition, which is generally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 In the European Union, the European Commission may designate a product candidate as an orphan medicinal product if it is a medicine for the diagnosis, prevention or treatment of life-threatening or very serious conditions that affects not more than five in 10,000 persons in the European Union, or it is unlikely that marketing of the medicine would generate sufficient returns to justify the investment needed for its development and no satisfactory method of diagnosis, prevention or treatment of the condition concerned is authorized, or, if such method exists, that the medicinal product will be of significant benefit to those affected by the condition. We have received orphan drug designation for oral PTH for the treatment of hypoparathyroidism from the FDA, but orphan drug designation may not ensure that we have market exclusivity in a particular market and there is no assurance we will be able to receive orphan drug designation for any additional product candidates. Further, the granting of a request for orphan drug designation does not alter the standard regulatory requirements and process for obtaining marketing approval, including the development time or regulatory review time of a drug.</w:t>
      </w:r>
    </w:p>
    <w:p>
      <w:pPr>
        <w:spacing w:after="0" w:line="8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subject to certain exceptions, precludes the FDA from approving another drug with the same active moiety for the same indication for that time period or precludes the EMA, and other national drug regulators in the European Union, from accepting the marketing application for a similar medicinal product for the same indication. The applicable period is seven years in the United States and 10 years in the European Union. The EU period can be reduced to six years if, at the end of the fifth year of marketing exclusivity, a product no longer meets the criteria for orphan drug designation, for instance if the product is sufficiently profitable so that market exclusivity is no longer justified. In the European Union, orphan exclusivity may also be extended for an additional two years (i.e., a maximum of 12 years’ orphan exclusivity) if the product is approved on the basis of a dossier that includes pediatric clinical trial data generated in accordance with an approved pediatric investigation plan. Orphan drug exclusivity may be lost in the United States if the FDA determines that the request for designation was materially defective or if the manufacturer is unable to assure sufficient quantity of the product to meet the needs of patients with the rare disease or condition.</w:t>
      </w:r>
    </w:p>
    <w:p>
      <w:pPr>
        <w:spacing w:after="0" w:line="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Orphan drug exclusivity may not effectively protect the product from competition because exclusivity can be suspended under certain circumstances. In the United States, even after an orphan drug is approved, the FDA can subsequently approve another drug with the same active moiety for the same condition if the FDA concludes that the later drug is clinically superior in that it is shown to be safer, more effective or otherwise makes a major contribution to patient care. In the European Union, orphan exclusivity will not prevent a marketing authorization being granted for a similar medicinal product in the same indication if the new product is safer, more effective or otherwise clinically superior to the first product or if the marketing authorization holder of the first product is unable to supply sufficient quantities of the product.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that our key competitor in hypoparathyroidism treatment is Shire plc, whose product Natpara, an injectable bioengineered recombinant form of PTH (1-84), was approved by the FDA in January 2015. Natpara has been granted orphan drug designation for hypoparathyroidism by the FDA and, as the first approved product for this indication, has orphan drug market exclusivity for seven years in the United States and, if Natpara is approved by the EMA, 10 years after receipt of market approval in the European Union. Therefore, we will only be able to obtain regulatory approval for EB612 prior to expiration of Natpara’s orphan exclusivity period in the United States, which expires in January 2022, if we demonstrate EB612’s clinical superiority over Natpara in that it demonstrates greater effectiveness or safety than Natpara or that it otherwise makes a major contribution to patient care. We believe that we will be able to demonstrate to the satisfaction of the FDA and EMA that our formulation of PTH is clinically superior to Natpara, and therefore we do not believe that the FDA or EMA will be precluded from approving a marketing application prior to Natpara’s expiration of orphan exclusivity, but there can be no assurance that we will be able to demonstrate that EB612 is clinically superior to Natpara or otherwise makes a major contribution to patient care under the applicable FDA and EMA standards and obtain regulatory approval, even if EB612 would otherwise satisfy each regulator’s standards for approval.</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Even if we obtain regulatory approval of EB612, we may not enjoy the benefits of our orphan designation for EB612 for hypoparathyroidism. For example, even if we were to overcome Natpara’s exclusivity, regulatory approval of EB612 would not create exclusivity vis-a-vis Natpara, and we would still have to compete with Natpara for market acceptance and on other factors that contribute to commercial success, such as reimbursement. Moreover, even if we obtain orphan drug exclusivity for EB612 vis-à-vis other products in development, that exclusivity may not effectively protect EB612 from competition because different drugs with different active moieties can be approved for the same condition. Even after an orphan drug is approved, the FDA or EMA can subsequently approve the same drug with the same active moiety for the same condition if the FDA or EMA concludes that the later drug is safer, more effective, or otherwise makes a major contribution to patient care.</w:t>
      </w:r>
    </w:p>
    <w:p>
      <w:pPr>
        <w:spacing w:after="0" w:line="17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 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current good manufacturing practice, or cGMP, requirements and other regulations.</w:t>
      </w:r>
    </w:p>
    <w:p>
      <w:pPr>
        <w:spacing w:after="0" w:line="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76" w:lineRule="exact"/>
        <w:rPr>
          <w:sz w:val="20"/>
          <w:szCs w:val="20"/>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 or take similar enforcement actions;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117" w:lineRule="exact"/>
        <w:rPr>
          <w:rFonts w:ascii="Arial" w:cs="Arial" w:eastAsia="Arial" w:hAnsi="Arial"/>
          <w:sz w:val="18"/>
          <w:szCs w:val="18"/>
          <w:color w:val="auto"/>
        </w:rPr>
      </w:pPr>
    </w:p>
    <w:p>
      <w:pPr>
        <w:ind w:left="720" w:right="820" w:hanging="352"/>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exclude products from federal healthcare programs, or request that we initiate a product recall; or</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legislative changes may harm our business and future prospects.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the Medicare Prescription Drug, Improvement, and Modernization Act of 2003, or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the MMA could decrease the coverage and price that we receive for any approved products and could seriously harm our future business prospects. While this law applies only to drug benefits for Medicare beneficiaries, private payors often follow Medicare coverage policy and payment limitations in setting their own reimbursement rates, and any reduction in reimbursement that results from this law may result in a similar reduction in payments from private payors.</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Affordable Care Act,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 The ACA appears likely to continue the pressure on pharmaceutical pricing and may also increase our regulatory burdens and operating costs.</w:t>
      </w:r>
    </w:p>
    <w:p>
      <w:pPr>
        <w:spacing w:after="0" w:line="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President Trump and the majorities of both houses of Congress have stated their intention to repeal and replace the ACA. In May 2017, the House of Representatives voted to pass the American Healthcare Act of 2017, which repeals certain portions of the ACA and adds material new provisions. On June 22, 2017, the Senate introduced its own healthcare reform bill. In addition, the Senate considered proposed healthcare reform legislation known as the Graham-Cassidy bill. Although none of these measures have been enacted by Congress to date, Congress may consider other legislation to repeal and replace all or elements of the ACA. In December 2017, the Tax Cuts and Jobs Act was enacted and signed into law, one part of which repeals the “individual mandate” introduced by the ACA starting in 2019. The repeal of the “individual mandate” may have an adverse effect on ACA insurance markets and lead to further legislative changes. Congress will likely consider other legislation to replace elements of the ACA, during the next Congressional session.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8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73" w:lineRule="exact"/>
        <w:rPr>
          <w:sz w:val="20"/>
          <w:szCs w:val="20"/>
          <w:color w:val="auto"/>
        </w:rPr>
      </w:pPr>
    </w:p>
    <w:p>
      <w:pPr>
        <w:ind w:left="720" w:right="620" w:hanging="352"/>
        <w:spacing w:after="0" w:line="293"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3" w:lineRule="exact"/>
        <w:rPr>
          <w:rFonts w:ascii="Arial" w:cs="Arial" w:eastAsia="Arial" w:hAnsi="Arial"/>
          <w:sz w:val="16"/>
          <w:szCs w:val="16"/>
          <w:color w:val="auto"/>
        </w:rPr>
      </w:pPr>
    </w:p>
    <w:p>
      <w:pPr>
        <w:ind w:left="720" w:right="620" w:hanging="352"/>
        <w:spacing w:after="0" w:line="264"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760" w:hanging="352"/>
        <w:spacing w:after="0" w:line="259"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24" w:lineRule="exact"/>
        <w:rPr>
          <w:rFonts w:ascii="Arial" w:cs="Arial" w:eastAsia="Arial" w:hAnsi="Arial"/>
          <w:sz w:val="18"/>
          <w:szCs w:val="18"/>
          <w:color w:val="auto"/>
        </w:rPr>
      </w:pPr>
    </w:p>
    <w:p>
      <w:pPr>
        <w:ind w:left="720" w:right="820" w:hanging="352"/>
        <w:spacing w:after="0" w:line="298"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ind w:left="720" w:right="480" w:hanging="352"/>
        <w:spacing w:after="0" w:line="286"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requires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or their family members;</w:t>
      </w:r>
    </w:p>
    <w:p>
      <w:pPr>
        <w:spacing w:after="0" w:line="3" w:lineRule="exact"/>
        <w:rPr>
          <w:rFonts w:ascii="Arial" w:cs="Arial" w:eastAsia="Arial" w:hAnsi="Arial"/>
          <w:sz w:val="17"/>
          <w:szCs w:val="17"/>
          <w:color w:val="auto"/>
        </w:rPr>
      </w:pPr>
    </w:p>
    <w:p>
      <w:pPr>
        <w:ind w:left="720" w:right="540" w:hanging="352"/>
        <w:spacing w:after="0" w:line="299"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1" w:lineRule="exact"/>
        <w:rPr>
          <w:rFonts w:ascii="Arial" w:cs="Arial" w:eastAsia="Arial" w:hAnsi="Arial"/>
          <w:sz w:val="16"/>
          <w:szCs w:val="16"/>
          <w:color w:val="auto"/>
        </w:rPr>
      </w:pPr>
    </w:p>
    <w:p>
      <w:pPr>
        <w:ind w:left="720" w:right="700" w:hanging="352"/>
        <w:spacing w:after="0" w:line="291"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5" w:lineRule="exact"/>
        <w:rPr>
          <w:rFonts w:ascii="Arial" w:cs="Arial" w:eastAsia="Arial" w:hAnsi="Arial"/>
          <w:sz w:val="16"/>
          <w:szCs w:val="16"/>
          <w:color w:val="auto"/>
        </w:rPr>
      </w:pPr>
    </w:p>
    <w:p>
      <w:pPr>
        <w:ind w:left="720" w:right="880" w:hanging="35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Commercialization of Our Product Candidates</w:t>
      </w:r>
    </w:p>
    <w:p>
      <w:pPr>
        <w:spacing w:after="0" w:line="1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color w:val="auto"/>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industry is highly competitive and subject to rapid and significant technological change. While we believe that our technology, knowledge, experience and scientific resources provide us with competitive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oral PTH product candidates, and any other product candidates that we develop, are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spacing w:after="0" w:line="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Our primary innovation is our development of an oral drug delivery technology for large peptides, protein and other large molecules. If another company develops an alternative technology for oral delivery of such molecules that is equal to or better than our technology, we may be unable to compete.</w:t>
      </w:r>
    </w:p>
    <w:p>
      <w:pPr>
        <w:spacing w:after="0" w:line="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believe that our key competitor in hypoparathyroidism treatment is Natpara. If we obtain regulatory approval for EB612, it will compete with Natpara, which by that time will have been marketed for several years and may have wide-spread market acceptance that may be difficult to overcome. See “— In order to obtain FDA approval for EB612 prior to the expiration of Natpara’s orphan drug exclusivity in 2022, we need to show that EB612 is clinically superior to Natpara. Moreover, although we have obtained orphan drug designation for EB612 for the treatment of hypoparathyroidism, we may be unable to maintain the benefits associated with orphan drug designation, including the potential for market exclusivity.” In addition, Ascendis Pharma has reported that it is developing a long-acting, oral prodrug formulation of PTH for the treatment of hypoparathyroidism. In September 2017, Ascendis reported that it had initiated a Phase 1 trial with their drug in Australia. Ascendis expects to advance their drug directly into Phase 3 development in the first quarter of 2019.</w:t>
      </w:r>
    </w:p>
    <w:p>
      <w:pPr>
        <w:spacing w:after="0" w:line="5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osteoporosis market is already served by a variety of competing products based on a number of APIs. Many of these existing products have achieved widespread acceptance among physicians, patients and payors for the treatment of osteoporosis. The market has been dominated by bisphosphonates for many years, although bisphosphonates’ market share has declined due to the occurrence of serious side effects, as well as the introduction of newly developed pharmacological treatments. Many of the new drugs have serious side effects of their own. Eli Lilly’s Forteo, an injectable PTH (1-34), is one of the most effective osteoporosis medications. We anticipate that our product candidate EB613, if approved, will compete with Forteo and the rest of the pharmacological treatments for osteoporosis. Many of these products are available on a generic basis, and EB613 may not demonstrate sufficient additional clinical benefits to physicians, patients or payors to justify a higher price compared to generic products.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manufacturing risks that could substantially increase our costs and limit supply of our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several risks, including:</w:t>
      </w:r>
    </w:p>
    <w:p>
      <w:pPr>
        <w:spacing w:after="0" w:line="144" w:lineRule="exact"/>
        <w:rPr>
          <w:sz w:val="20"/>
          <w:szCs w:val="20"/>
          <w:color w:val="auto"/>
        </w:rPr>
      </w:pPr>
    </w:p>
    <w:p>
      <w:pPr>
        <w:ind w:left="720" w:right="760" w:hanging="352"/>
        <w:spacing w:after="0" w:line="297"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do not have experience in manufacturing our product candidates at commercial scale. We may not succeed in the scaling up of our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right="40"/>
        <w:spacing w:after="0" w:line="264" w:lineRule="auto"/>
        <w:rPr>
          <w:sz w:val="20"/>
          <w:szCs w:val="20"/>
          <w:color w:val="auto"/>
        </w:rPr>
      </w:pPr>
      <w:r>
        <w:rPr>
          <w:rFonts w:ascii="Arial" w:cs="Arial" w:eastAsia="Arial" w:hAnsi="Arial"/>
          <w:sz w:val="18"/>
          <w:szCs w:val="18"/>
          <w:color w:val="auto"/>
        </w:rPr>
        <w:t>affect our success. Contract manufacturers may not have sufficient expertise to manufacture a dry oral formulation with a large molecule API, in which case we may have to establish our own commercial manufacturing capabilities, which could be expensive and delay launch of product candidates.</w:t>
      </w:r>
    </w:p>
    <w:p>
      <w:pPr>
        <w:spacing w:after="0" w:line="73" w:lineRule="exact"/>
        <w:rPr>
          <w:sz w:val="20"/>
          <w:szCs w:val="20"/>
          <w:color w:val="auto"/>
        </w:rPr>
      </w:pPr>
    </w:p>
    <w:p>
      <w:pPr>
        <w:ind w:left="720" w:right="340" w:hanging="352"/>
        <w:spacing w:after="0" w:line="272"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manufacturing process for biologics is more complex and subject to greater regulation than that of other drugs. The process of manufacturing biologics,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56" w:lineRule="exact"/>
        <w:rPr>
          <w:rFonts w:ascii="Arial" w:cs="Arial" w:eastAsia="Arial" w:hAnsi="Arial"/>
          <w:sz w:val="17"/>
          <w:szCs w:val="17"/>
          <w:color w:val="auto"/>
        </w:rPr>
      </w:pPr>
    </w:p>
    <w:p>
      <w:pPr>
        <w:ind w:left="720" w:right="500" w:hanging="352"/>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manufacturing facilities in which our product candidates are made could be adversely affected by equipment failures, labor shortages, natural disasters, power failures and numerous other factors.</w:t>
      </w:r>
    </w:p>
    <w:p>
      <w:pPr>
        <w:spacing w:after="0" w:line="48" w:lineRule="exact"/>
        <w:rPr>
          <w:rFonts w:ascii="Arial" w:cs="Arial" w:eastAsia="Arial" w:hAnsi="Arial"/>
          <w:sz w:val="18"/>
          <w:szCs w:val="18"/>
          <w:color w:val="auto"/>
        </w:rPr>
      </w:pPr>
    </w:p>
    <w:p>
      <w:pPr>
        <w:ind w:left="720" w:right="300" w:hanging="352"/>
        <w:spacing w:after="0" w:line="287"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must comply with applicable current cGMP, regulations and guidelines.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47" w:lineRule="exact"/>
        <w:rPr>
          <w:rFonts w:ascii="Arial" w:cs="Arial" w:eastAsia="Arial" w:hAnsi="Arial"/>
          <w:sz w:val="16"/>
          <w:szCs w:val="16"/>
          <w:color w:val="auto"/>
        </w:rPr>
      </w:pPr>
    </w:p>
    <w:p>
      <w:pPr>
        <w:ind w:left="720" w:right="600" w:hanging="352"/>
        <w:spacing w:after="0" w:line="25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65" w:lineRule="exact"/>
        <w:rPr>
          <w:rFonts w:ascii="Arial" w:cs="Arial" w:eastAsia="Arial" w:hAnsi="Arial"/>
          <w:sz w:val="18"/>
          <w:szCs w:val="18"/>
          <w:color w:val="auto"/>
        </w:rPr>
      </w:pPr>
    </w:p>
    <w:p>
      <w:pPr>
        <w:ind w:left="720" w:right="620" w:hanging="352"/>
        <w:spacing w:after="0" w:line="25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not yet established sales, marketing or distribution operations because our product candidates are in early clinical development. Prior to receiving regulatory approval for EB612, we plan to build a focused</w:t>
      </w:r>
    </w:p>
    <w:p>
      <w:pPr>
        <w:spacing w:after="0" w:line="2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and marketing organization in the United States and other jurisdictions where we anticipate obtaining approval to sell EB612. This would be expensive and time consuming. If we elect to fund and undertake commercialization activities on our own, we may need to obtain additional expertise and additional capital, which may not be available to us on acceptable terms or at all. In addition, the costs of establishing sales and marketing operations may be incurred in advance of any approval of our product candidates. Moreover, we may not be able to hire a sales force that is sufficient in size or has adequate expertise in the medical markets that we intend to target. Any failure or delay in the development of our internal sales, marketing and distribution capabilities would adversely affect the commercialization of our products.</w:t>
      </w:r>
    </w:p>
    <w:p>
      <w:pPr>
        <w:spacing w:after="0" w:line="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Alternatively, we may consider entering into a collaboration to commercialize EB612, and we anticipate seeking a collaborator to develop EB613 and that any such collaborator would be responsible for, or substantially support, late stage clinical trials of EB613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6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116" w:lineRule="exact"/>
        <w:rPr>
          <w:sz w:val="20"/>
          <w:szCs w:val="20"/>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of our product candidates;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and extent of coverage and reimbursement from managed care plans and other third-party payors;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degree of cost-effectiveness of our product candidates;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and over-the-counter products;</w:t>
      </w:r>
    </w:p>
    <w:p>
      <w:pPr>
        <w:spacing w:after="0" w:line="171" w:lineRule="exact"/>
        <w:rPr>
          <w:rFonts w:ascii="Arial" w:cs="Arial" w:eastAsia="Arial" w:hAnsi="Arial"/>
          <w:sz w:val="18"/>
          <w:szCs w:val="18"/>
          <w:color w:val="auto"/>
        </w:rPr>
      </w:pPr>
    </w:p>
    <w:p>
      <w:pPr>
        <w:ind w:left="720" w:right="780" w:hanging="352"/>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the product candidate is approved for inclusion on formularies of hospitals and third-party payors, including managed care organizations;</w:t>
      </w:r>
    </w:p>
    <w:p>
      <w:pPr>
        <w:spacing w:after="0" w:line="102" w:lineRule="exact"/>
        <w:rPr>
          <w:rFonts w:ascii="Arial" w:cs="Arial" w:eastAsia="Arial" w:hAnsi="Arial"/>
          <w:sz w:val="18"/>
          <w:szCs w:val="18"/>
          <w:color w:val="auto"/>
        </w:rPr>
      </w:pPr>
    </w:p>
    <w:p>
      <w:pPr>
        <w:ind w:left="720" w:right="1120" w:hanging="352"/>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diseases;</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48"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b w:val="1"/>
          <w:bCs w:val="1"/>
          <w:color w:val="auto"/>
        </w:rPr>
        <w:t>Even if we obtain regulatory approval of any of our product candidates in a major pharmaceutical market such as the United States or the European Union, we may never obtain approval or commercialize our products in other major markets, which would limit our ability to realize their full market potential.</w:t>
      </w:r>
    </w:p>
    <w:p>
      <w:pPr>
        <w:spacing w:after="0" w:line="8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155"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b w:val="1"/>
          <w:bCs w:val="1"/>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required of new technologies, we cannot be sure that coverage will be available for our oral PTH product candidates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5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6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highly dependent upon our ability to enter into agreements with collaborators to develop, commercialize and market our products.</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may enter into collaborations with third parties that we believe could provide us with valuable funding and other benefits. For example, we anticipate seeking a collaborator to develop EB613 for osteoporosis and that any such collaborator would be responsible for, or substantially support, late stage clinical trials of EB613 as well as regulatory approvals and registrations.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Collaborations are complex and time-consuming to negotiate and document. If we are unable to reach agreements with suitable collaborators on a timely basis, on acceptable terms, or at all, we may have to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activities at our own expense. If we fail to enter into collaborations and do not have sufficient funds or expertise to undertake the necessary development and commercialization activities ourselves, we may not be able to further develop our product candidates or bring them to market or continue to develop our technology platforms and our business may be materially and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 we enter into may pose a number of risks, including the following:</w:t>
      </w:r>
    </w:p>
    <w:p>
      <w:pPr>
        <w:spacing w:after="0" w:line="185" w:lineRule="exact"/>
        <w:rPr>
          <w:sz w:val="20"/>
          <w:szCs w:val="20"/>
          <w:color w:val="auto"/>
        </w:rPr>
      </w:pPr>
    </w:p>
    <w:p>
      <w:pPr>
        <w:ind w:left="720" w:hanging="35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jc w:val="both"/>
        <w:ind w:left="720" w:right="620" w:hanging="352"/>
        <w:spacing w:after="0" w:line="312"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92" w:lineRule="exact"/>
        <w:rPr>
          <w:rFonts w:ascii="Arial" w:cs="Arial" w:eastAsia="Arial" w:hAnsi="Arial"/>
          <w:sz w:val="16"/>
          <w:szCs w:val="16"/>
          <w:color w:val="auto"/>
        </w:rPr>
      </w:pPr>
    </w:p>
    <w:p>
      <w:pPr>
        <w:ind w:left="720" w:right="820" w:hanging="352"/>
        <w:spacing w:after="0" w:line="30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06" w:lineRule="exact"/>
        <w:rPr>
          <w:rFonts w:ascii="Arial" w:cs="Arial" w:eastAsia="Arial" w:hAnsi="Arial"/>
          <w:sz w:val="17"/>
          <w:szCs w:val="17"/>
          <w:color w:val="auto"/>
        </w:rPr>
      </w:pPr>
    </w:p>
    <w:p>
      <w:pPr>
        <w:ind w:left="720" w:right="660" w:hanging="352"/>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27" w:lineRule="exact"/>
        <w:rPr>
          <w:rFonts w:ascii="Arial" w:cs="Arial" w:eastAsia="Arial" w:hAnsi="Arial"/>
          <w:sz w:val="18"/>
          <w:szCs w:val="18"/>
          <w:color w:val="auto"/>
        </w:rPr>
      </w:pPr>
    </w:p>
    <w:p>
      <w:pPr>
        <w:ind w:left="720" w:right="420" w:hanging="352"/>
        <w:spacing w:after="0" w:line="342"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83" w:lineRule="exact"/>
        <w:rPr>
          <w:rFonts w:ascii="Arial" w:cs="Arial" w:eastAsia="Arial" w:hAnsi="Arial"/>
          <w:sz w:val="16"/>
          <w:szCs w:val="16"/>
          <w:color w:val="auto"/>
        </w:rPr>
      </w:pPr>
    </w:p>
    <w:p>
      <w:pPr>
        <w:ind w:left="720" w:right="820" w:hanging="352"/>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16" w:lineRule="exact"/>
        <w:rPr>
          <w:rFonts w:ascii="Arial" w:cs="Arial" w:eastAsia="Arial" w:hAnsi="Arial"/>
          <w:sz w:val="18"/>
          <w:szCs w:val="18"/>
          <w:color w:val="auto"/>
        </w:rPr>
      </w:pPr>
    </w:p>
    <w:p>
      <w:pPr>
        <w:ind w:left="720" w:right="560" w:hanging="352"/>
        <w:spacing w:after="0" w:line="25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46" w:lineRule="exact"/>
        <w:rPr>
          <w:rFonts w:ascii="Arial" w:cs="Arial" w:eastAsia="Arial" w:hAnsi="Arial"/>
          <w:sz w:val="18"/>
          <w:szCs w:val="18"/>
          <w:color w:val="auto"/>
        </w:rPr>
      </w:pPr>
    </w:p>
    <w:p>
      <w:pPr>
        <w:ind w:left="720" w:right="500" w:hanging="352"/>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127" w:lineRule="exact"/>
        <w:rPr>
          <w:rFonts w:ascii="Arial" w:cs="Arial" w:eastAsia="Arial" w:hAnsi="Arial"/>
          <w:sz w:val="18"/>
          <w:szCs w:val="18"/>
          <w:color w:val="auto"/>
        </w:rPr>
      </w:pPr>
    </w:p>
    <w:p>
      <w:pPr>
        <w:ind w:left="720" w:right="880" w:hanging="352"/>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29" w:lineRule="exact"/>
        <w:rPr>
          <w:rFonts w:ascii="Arial" w:cs="Arial" w:eastAsia="Arial" w:hAnsi="Arial"/>
          <w:sz w:val="18"/>
          <w:szCs w:val="18"/>
          <w:color w:val="auto"/>
        </w:rPr>
      </w:pPr>
    </w:p>
    <w:p>
      <w:pPr>
        <w:ind w:left="720" w:right="620" w:hanging="352"/>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fail to comply with applicable laws, rules or regulations when performing services for us, which may expose us to legal proceedings and potential liability; and</w:t>
      </w:r>
    </w:p>
    <w:p>
      <w:pPr>
        <w:spacing w:after="0" w:line="129" w:lineRule="exact"/>
        <w:rPr>
          <w:rFonts w:ascii="Arial" w:cs="Arial" w:eastAsia="Arial" w:hAnsi="Arial"/>
          <w:sz w:val="18"/>
          <w:szCs w:val="18"/>
          <w:color w:val="auto"/>
        </w:rPr>
      </w:pPr>
    </w:p>
    <w:p>
      <w:pPr>
        <w:jc w:val="both"/>
        <w:ind w:left="720" w:right="600" w:hanging="352"/>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for convenience by the collaborator and, if terminated, we could be required to raise additional capital to pursue further development or commercialization of the applicable product candidates, we may suffer from negative publicity and we may find it more difficult to attract new collaborators.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any of our future program collaborators.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secure and maintain research institutions to conduct our clinical trials.</w:t>
      </w:r>
    </w:p>
    <w:p>
      <w:pPr>
        <w:spacing w:after="0" w:line="10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or if any resulting agreement is terminated, we may be unable to quickly replace the research institution with another qualified institution on acceptable terms. Furthermore, we may not be able to secure and maintain suitable research institutions to conduct our clinical trials.</w:t>
      </w:r>
    </w:p>
    <w:p>
      <w:pPr>
        <w:spacing w:after="0" w:line="14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Independent clinical investigators and CROs that we engage to conduct our clinical trials may not devote sufficient time or attention to our clinical trials or be able to repeat their past success.</w:t>
      </w:r>
    </w:p>
    <w:p>
      <w:pPr>
        <w:spacing w:after="0" w:line="7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commonly referred to as Good Clinical Practice, or GCP, requirements for conducting, recording and reporting clinical trials to assure that data and reported results are credible and accurate and that the rights, integrity and confidentiality of trial subjects are protected. Regulatory authorities enforce these GCPs 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spacing w:after="0" w:line="158" w:lineRule="exact"/>
        <w:rPr>
          <w:sz w:val="20"/>
          <w:szCs w:val="20"/>
          <w:color w:val="auto"/>
        </w:rPr>
      </w:pPr>
    </w:p>
    <w:p>
      <w:pPr>
        <w:jc w:val="both"/>
        <w:ind w:right="160"/>
        <w:spacing w:after="0" w:line="232" w:lineRule="auto"/>
        <w:rPr>
          <w:sz w:val="20"/>
          <w:szCs w:val="20"/>
          <w:color w:val="auto"/>
        </w:rPr>
      </w:pPr>
      <w:r>
        <w:rPr>
          <w:rFonts w:ascii="Arial" w:cs="Arial" w:eastAsia="Arial" w:hAnsi="Arial"/>
          <w:sz w:val="18"/>
          <w:szCs w:val="18"/>
          <w:b w:val="1"/>
          <w:bCs w:val="1"/>
          <w:color w:val="auto"/>
        </w:rPr>
        <w:t>We contract with third parties for the supply of materials used in drug formulation for clinical testing and expect to contract with third parties for the manufacturing of our product candidates for large-scale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anticipate continuing our engagement of third parties to provide our clinical supply as we advance our product candidates into and through clinical development. We expect in the future to use third parties for the manufacture of our product candidates for clinical testing, as well as for commercial manufacture. We plan to enter into long-term supply agreements with several manufacturers for commercial supplies. We may be unable to reach agreement on satisfactory terms with contract manufacturers to manufacture our product candidates. Additionally, the facilities to manufacture our product candidates must be the subject of a satisfactory inspection before the FDA, the EMA or other regulatory authorities approve a BLA or grant a marketing authorization for the product candidate manufactured at that facility. We will depend on these third-party manufacturers for compliance with the FDA’s and the EMA’s requirements for the manufacture of our finished products. We do not control the manufacturing process of, and are completely dependent on, our contract manufacturers for compliance with cGMPs. If our manufacturers cannot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142" w:lineRule="exact"/>
        <w:rPr>
          <w:sz w:val="20"/>
          <w:szCs w:val="20"/>
          <w:color w:val="auto"/>
        </w:rPr>
      </w:pPr>
    </w:p>
    <w:p>
      <w:pPr>
        <w:ind w:left="720" w:hanging="35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130" w:lineRule="exact"/>
        <w:rPr>
          <w:rFonts w:ascii="Arial" w:cs="Arial" w:eastAsia="Arial" w:hAnsi="Arial"/>
          <w:sz w:val="18"/>
          <w:szCs w:val="18"/>
          <w:color w:val="auto"/>
        </w:rPr>
      </w:pPr>
    </w:p>
    <w:p>
      <w:pPr>
        <w:ind w:left="720" w:right="680" w:hanging="35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75" w:lineRule="exact"/>
        <w:rPr>
          <w:rFonts w:ascii="Arial" w:cs="Arial" w:eastAsia="Arial" w:hAnsi="Arial"/>
          <w:sz w:val="18"/>
          <w:szCs w:val="18"/>
          <w:color w:val="auto"/>
        </w:rPr>
      </w:pPr>
    </w:p>
    <w:p>
      <w:pPr>
        <w:ind w:left="720" w:right="740" w:hanging="35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94"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b w:val="1"/>
          <w:bCs w:val="1"/>
          <w:color w:val="auto"/>
        </w:rPr>
        <w:t>If we fail to establish, maintain, defend and enforce intellectual property rights with respect to our technology, our business, prospects, financial condition and results of operations may be materially adversely affected.</w:t>
      </w:r>
    </w:p>
    <w:p>
      <w:pPr>
        <w:spacing w:after="0" w:line="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success depends in large part on our ability to obtain and maintain protection with respect to our intellectual property and proprietary technology. Our product candidates utilize our proprietary technology relating to the oral delivery of large molecules for the treatment of certain conditions with oral PTH.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limited patent protection with respect to our product candidates and technologies. We have been issued a patent that contains claims directed to compositions comprising a protein, an absorption enhancer and a protease inhibitor, as well as methods for oral administration of a protein with an enzymatic activity in each of the United States, Australia, Japan, China, Israel and Russia. Related patent applications are pending in the United States, the European Union, Hong Kong, Brazil, India, Israel, Canada, New Zealand and Russia. We have also filed five patent applications in various jurisdictions and one Patent Cooperation Treaty (PCT) application that currently contain claims directed to oral administration technologies, including compositions and drug delivery devices utilizing an absorption enhancer and methods of treating osteoporosis, hypoparathyroidism and bone fractures and related conditions with orally administered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parathyroid hormone.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United States Patent and Trademark Office, or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spacing w:after="0" w:line="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 United States and most foreign jurisdictions, the natural expiration of a patent is generally 20 years after its effective filing date. Various extensions may be available; however, the life of a patent and the protection it affords is limited. For example,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 review of new product candidates, patents protecting such candidates might expire before or shortly after such candidates are commercialized. As a result, we cannot provide any assurance that any of our issued patents or any patents that may issue to us in the future will provide sufficient protections for our technology or product candidates, in whole or in part, or will effectively prevent competitors from commercializing similar or identical technologies and products.</w:t>
      </w:r>
    </w:p>
    <w:p>
      <w:pPr>
        <w:spacing w:after="0" w:line="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 For example, we are party to a patent transfer agreement with Oramed Ltd., or the Patent Transfer Agreement, pursuant to which we have granted Oramed Ltd. an exclusive, worldwide, royalty-free, irrevocable and perpetual license, with the right to sublicense, under certain of our patent rights to develop, manufacture and commercialize covered products or otherwise exploit such patent rights in the fields of diabetes and influenza and we have agreed not to, directly or indirectly, engage in any activities within the fields of diabetes and influenza. Even if such agreement were to be terminated, Oramed Ltd. would retain its exclusive license under such patent rights.</w:t>
      </w:r>
    </w:p>
    <w:p>
      <w:pPr>
        <w:spacing w:after="0" w:line="5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future, we may enter into collaborative agreements or license agreements with third parties which may subject us to obligations that must be fulfilled and require us to manage complex relationships with third parties. If we are unable to meet our obligations or 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spacing w:after="0" w:line="171" w:lineRule="exact"/>
        <w:rPr>
          <w:sz w:val="20"/>
          <w:szCs w:val="20"/>
          <w:color w:val="auto"/>
        </w:rPr>
      </w:pPr>
    </w:p>
    <w:p>
      <w:pPr>
        <w:ind w:right="580"/>
        <w:spacing w:after="0" w:line="251" w:lineRule="auto"/>
        <w:rPr>
          <w:sz w:val="20"/>
          <w:szCs w:val="20"/>
          <w:color w:val="auto"/>
        </w:rPr>
      </w:pPr>
      <w:r>
        <w:rPr>
          <w:rFonts w:ascii="Arial" w:cs="Arial" w:eastAsia="Arial" w:hAnsi="Arial"/>
          <w:sz w:val="18"/>
          <w:szCs w:val="18"/>
          <w:b w:val="1"/>
          <w:bCs w:val="1"/>
          <w:color w:val="auto"/>
        </w:rPr>
        <w:t>We may become involved in proceedings to protect or enforce our proprietary rights, which could be expensive and time consuming, and may ultimately be unsuccessful.</w:t>
      </w:r>
    </w:p>
    <w:p>
      <w:pPr>
        <w:spacing w:after="0" w:line="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before March 16, 2013, or in derivation proceedings to determine inventorship for patent applications filed after such date. Such proceedings could result in the revocation of, cancellation of, or amendment to our patents in such a way that they no longer cover our product candidates or provide us with any competitive advantage.</w:t>
      </w:r>
    </w:p>
    <w:p>
      <w:pPr>
        <w:spacing w:after="0" w:line="6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third parties could market competing products and technology.</w:t>
      </w:r>
    </w:p>
    <w:p>
      <w:pPr>
        <w:spacing w:after="0" w:line="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Emisphere Technologies, Inc., or Emisphere, has notified us that it believes that, among other things, it is the exclusive owner of certain U.S. and related foreign patents and patent applications we acquired from Oramed Ltd. We are currently investigating the merits of this claim. If Emisphere were to initiate a legal proceeding against us regarding its claim of ownership, we would vigorously defend against such claim. However, if Emisphere is ultimately successful in obtaining ownership of the patent rights that are the subject of its claim, then we may lose our ability to enforce such patent rights against any third party infringers. Moreover, if Emisphere is ultimately successful in obtaining ownership of such patent rights and could successfully demonstrate that, absent a license from Emisphere, our product candidates, including EB612, or technologies infringe such patent rights, then we would be required to redesign our product candidates or technologies so they are no longer infringing or obtain a license from Emisphere to such patent rights, which may not be available on commercially reasonable terms or at all. Even if we are successful in defending against Emisphere’s claim, litigation could result in substantial costs and be a distraction to management. Any of the foregoing could have a material adverse effect on our competitive position, business, financial conditions, results of operations, and prospects.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commercial success depends significantly on our ability to operate without infringing the patents and other proprietary rights of third parties.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claims that we are violating the intellectual property rights of others.</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 with certainty that our oral PTH (1-34) tablet or any other product candidate, or our commercialization thereof, does not and will not infringe or otherwise violate any third party’s intellectual property.</w:t>
      </w:r>
    </w:p>
    <w:p>
      <w:pPr>
        <w:spacing w:after="0" w:line="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we would need to demonstrate that our products or methods either do not infringe the patent claims of the relevant patent or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 providers’, 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and enforce our intellectual property rights throughout the world.</w:t>
      </w:r>
    </w:p>
    <w:p>
      <w:pPr>
        <w:spacing w:after="0" w:line="9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third parties. Furthermore, many countries limit the enforceability of patents against third parties, including government agencies or government contractors. In these countries, patents may provide limited or no benefit.</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changes in the law and legal decisions by courts in the United States and foreign countries may affect our ability to obtain adequate protection for our technology and to enforce our intellectual property.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U.S. patent law could diminish the value of our future patents, if issued, thereby impairing our ability to protect our product candidates.</w:t>
      </w:r>
    </w:p>
    <w:p>
      <w:pPr>
        <w:spacing w:after="0" w:line="13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the United States has recently enacted wide-ranging patent reform legislation, which includes provisions that affect the way patent applications are prosecuted, redefine prior art, may affect patent litigation, and switch the U.S. patent system from a “first to invent” system to a “first inventor to file” system. It is not clear what, if any, impact such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spacing w:after="0" w:line="155"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Intellectual property litigation may lead to unfavorable publicity that harms our reputation and causes the market price of our ordinary shares to decline.</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If securities analysts or investors regard 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spacing w:after="0" w:line="154" w:lineRule="exact"/>
        <w:rPr>
          <w:sz w:val="20"/>
          <w:szCs w:val="20"/>
          <w:color w:val="auto"/>
        </w:rPr>
      </w:pPr>
    </w:p>
    <w:p>
      <w:pPr>
        <w:jc w:val="both"/>
        <w:ind w:right="300"/>
        <w:spacing w:after="0" w:line="23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United States over the lifetime of our owned patents and/or applications and any patent rights we may own or license in the future.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w:t>
      </w:r>
    </w:p>
    <w:p>
      <w:pPr>
        <w:ind w:right="40"/>
        <w:spacing w:after="0" w:line="255" w:lineRule="auto"/>
        <w:rPr>
          <w:sz w:val="20"/>
          <w:szCs w:val="20"/>
          <w:color w:val="auto"/>
        </w:rPr>
      </w:pPr>
      <w:r>
        <w:rPr>
          <w:rFonts w:ascii="Arial" w:cs="Arial" w:eastAsia="Arial" w:hAnsi="Arial"/>
          <w:sz w:val="18"/>
          <w:szCs w:val="18"/>
          <w:color w:val="auto"/>
        </w:rPr>
        <w:t>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b w:val="1"/>
          <w:bCs w:val="1"/>
          <w:color w:val="auto"/>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spacing w:after="0" w:line="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If we are required to pay additional compensation or face disputes relating to service inventions, our results of operations could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the confidentiality of our technology, which, if disseminated, could negatively impact our plan of operations.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 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have relationships with different consultants who perform research and development activities for us and who are not employed by us, and we may enter into additional relationships of such nature in the future. We have limited 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spacing w:after="0" w:line="14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b w:val="1"/>
          <w:bCs w:val="1"/>
          <w:color w:val="auto"/>
        </w:rPr>
        <w:t>We may be subject to claims by third parties asserting that we or our employees, consultants or contractors have misappropriated their intellectual property, or claiming ownership of what we regard as our own intellectual property.</w:t>
      </w:r>
    </w:p>
    <w:p>
      <w:pPr>
        <w:spacing w:after="0" w:line="7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spacing w:after="0" w:line="8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If trademarks and trade names related to our product candidates are not adequately protected, then we may not be able to build name recognition in our markets of interest and our business may be adversely affected.</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currently own or use any registered trademarks for our product candidates. In the future, 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Ordinary Shares, Warrants and this Offering</w:t>
      </w:r>
    </w:p>
    <w:p>
      <w:pPr>
        <w:spacing w:after="0" w:line="19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b w:val="1"/>
          <w:bCs w:val="1"/>
          <w:color w:val="auto"/>
        </w:rPr>
        <w:t>The price of our ordinary shares and warrants may be volatile, and you may not be able to resell your ordinary shares or warrants at or above the applicable initial public offering price for such securities.</w:t>
      </w:r>
    </w:p>
    <w:p>
      <w:pPr>
        <w:spacing w:after="0" w:line="7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price of securities for publicly traded emerging biopharmaceutical and drug discovery and development companies has been highly volatile and is likely to remain highly volatile in the future. These fluctuations may result from a variety of factors, many of which are beyond our control. These factors include:</w:t>
      </w:r>
    </w:p>
    <w:p>
      <w:pPr>
        <w:spacing w:after="0" w:line="83" w:lineRule="exact"/>
        <w:rPr>
          <w:sz w:val="20"/>
          <w:szCs w:val="20"/>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 results and the timing of the release of such results;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171"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or acquisitions or expansion plans by us or our competitors;</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entering into or terminating strategic relationships;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government regulation;</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 of our key personnel;</w:t>
      </w:r>
    </w:p>
    <w:p>
      <w:pPr>
        <w:spacing w:after="0" w:line="184" w:lineRule="exact"/>
        <w:rPr>
          <w:rFonts w:ascii="Arial" w:cs="Arial" w:eastAsia="Arial" w:hAnsi="Arial"/>
          <w:sz w:val="18"/>
          <w:szCs w:val="18"/>
          <w:color w:val="auto"/>
        </w:rPr>
      </w:pPr>
    </w:p>
    <w:p>
      <w:pPr>
        <w:ind w:left="720" w:right="860" w:hanging="352"/>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related to proprietary rights, including patents, litigation matters and our ability to obtain intellectual property protection for our technologies;</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sale, or the sale by our significant shareholders, of ordinary shares, warrants or other securities in the future;</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being developed;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our industry and changes in estimates of the future size and growth rate of our markets;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volume of our ordinary shares and warrants; and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164"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b w:val="1"/>
          <w:bCs w:val="1"/>
          <w:color w:val="auto"/>
        </w:rPr>
        <w:t>There was no public market for our ordinary shares or warrants prior to this offering, and an active market in our ordinary shares and warrants may not develop in which investors can resell our ordinary shares or warrants.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Prior to this offering there was no public market for our ordinary shares or warrants. Although we have applied to list our ordinary shares and warrants on the NASDAQ Capital Market and expect that our ordinary shares and warrants will be listed on the NASDAQ Capital Market prior to the completion of this offering, we cannot predict the extent to which an active market for our ordinary shares and warrants will develop or be sustained after this offering, or how the development of such a market might affect the market price for our ordinary shares or warrants. The initial public offering price of our ordinary shares and warrants in this offering was agreed between us and the underwriters based on a number of factors, including market conditions in effect at the time of this offering, which may not be indicative of the price at which our ordinary shares and warrants will trade following completion of this offering. Investors may not be able to sell their ordinary shares and warrants at terms that are attractive, if at all.</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80"/>
        <w:spacing w:after="0" w:line="251" w:lineRule="auto"/>
        <w:rPr>
          <w:sz w:val="20"/>
          <w:szCs w:val="20"/>
          <w:color w:val="auto"/>
        </w:rPr>
      </w:pPr>
      <w:r>
        <w:rPr>
          <w:rFonts w:ascii="Arial" w:cs="Arial" w:eastAsia="Arial" w:hAnsi="Arial"/>
          <w:sz w:val="18"/>
          <w:szCs w:val="18"/>
          <w:b w:val="1"/>
          <w:bCs w:val="1"/>
          <w:color w:val="auto"/>
        </w:rPr>
        <w:t>The warrants are speculative in nature and are a risky investment. You may not be able to recover your investment in the warrants, and the warrants may expire worthless.</w:t>
      </w:r>
    </w:p>
    <w:p>
      <w:pPr>
        <w:spacing w:after="0" w:line="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value of the warrants will depend on the value of our ordinary shares, which will depend on factors related and unrelated to the success of our clinical development program and cannot be predicted at this time.</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the price per share of our ordinary shares does not increase to an amount sufficiently above the applicable exercise price of the warrants during the period the warrants are exercisable, and if a public market for our warrants does not develop, the warrants may not have any value, and you may be unable to recover any or all of your investment in the warrants. There can be no assurance that the market price of the ordinary shares will ever equal or exceed the exercise price of the warrants, and consequently, whether it will ever be profitable for holders of the warrants to exercise the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the warrants will have no rights as shareholders until they acquire our ordinary shares.</w:t>
      </w:r>
    </w:p>
    <w:p>
      <w:pPr>
        <w:spacing w:after="0" w:line="10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Until you acquire our ordinary shares upon exercise of the warrants, you will have no rights with respect to our ordinary shares issuable upon exercise of the warrants, except as set forth in the warrants. Upon exercise of your warrants, you will be entitled to exercise the rights of a shareholder only as to matters for which the record date occurs on or after the exercise date, unless the warrants are settled via “cashless exercise” in which case you will be entitled to exercise such rights only after the end of the relevant calculation period (as defined under “Description of Warrants — Exercisability, Exercise Price and Term”).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by our shareholders may adversely affect our stock price and our ability to raise funds in new stock offerings.</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Sales of our ordinary shares or warrants in the public market following this offering could lower the market price of our ordinary shares or warrants. Sales may also make it more difficult for us to sell equity securities or equity-related securities in the future at a time and price that our management deems acceptable or at all. Most of our outstanding ordinary shares and warrants will be restricted from resale immediately after the consummation of this offering. In the event of a sale of ordinary shares or warrants offered by selling shareholders, the price of our ordinary shares or warrants could decline, and such decline could be material.</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color w:val="auto"/>
        </w:rPr>
        <w:t>Immediately following this offering, D.N.A Biomedical will beneficially own approximately 35% of our ordinary shares and may therefore be able to significantly influence the outcome of matters requiring shareholder approval.</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Immediately following this offering, D.N.A Biomedical Solutions Ltd., or D.N.A Biomedical, will beneficially own approximately 35% of our outstanding shares. Accordingly, subject to special approvals required by Israeli law for transactions involving controlling shareholders, D.N.A Biomedical may be able to exercise significant influence over all matters requiring shareholder approval, including the election of directors and approval of significant corporate transactions, which could have the effect of delaying or preventing either a third party from acquiring control over us or engaging in other purchases of our ordinary shares that might otherwise give our shareholders the opportunity to realize a premium over the then-prevailing market price for our ordinary shares or any changes, or from making any changes to our management or board of directors. D.N.A Biomedical could also sell its stake in our company and effectively transfer control of our company to another party without your consent.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ordinary shares and warrants could be negatively affected by future sales of our securities.</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this offering, we will have 11,361,654 ordinary shares outstanding. If we or our shareholders sell substantial amounts of our ordinary shares or warrants or if there is a public perception that these sales may occur in the future, the market price of our ordinary shares or warrants may decline. We, together with our directors, officers and our significant shareholders that, in the aggregate, beneficially own approximately 87.25% of our outstanding ordinary shares as of March 31, 2018, have agreed with the underwriters of this offering not to sell any ordinary shares, other than the shares offered through this prospectus and shares purchased in the open market, for a period of 180 days following the date of this prospectus, subject to certain exceptions. See “Shares Eligible for Future Sale” and “Underwriters.”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allocate the net proceeds from this offering to our different areas of activity. Our management may not apply the net proceeds in ways that ultimately increase the value of your investment in our units. They will have broad discretion in the application of the use of proceeds from this offering, and you will be relying on the judgment of our management regarding the application of these proceeds. If we do not invest or apply the net proceeds from this offering in ways that enhance shareholder value, we may fail to achieve expected financial results, which could cause the price of our ordinary shares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the units in this offering, you will suffer immediate dilution of your investment.</w:t>
      </w:r>
    </w:p>
    <w:p>
      <w:pPr>
        <w:spacing w:after="0" w:line="10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you purchase the units in this offering, you will pay a price per unit that exceeds our pro forma as adjusted net tangible book value per ordinary share. You will experience immediate dilution of approximately $7.39 per ordinary share, representing the difference between our pro forma as adjusted net tangible book value per ordinary share of $1.61 as of December 31, 2017 and the assumed initial public offering price of $9.00 per unit (the midpoint of the estimated offering price range on the cover of this prospectus, not taking into account the value of the warrants included in such units or other warrants and options issued by the Company. Purchasers of the units in this offering will have contributed approximately 28.2% of the aggregate price paid by all purchasers of our ordinary shares but will own only approximately 11.7% of our ordinary shares outstanding after this offering. To the extent options or warrants for our ordinary shares are exercised, you will incur further dilution. See “Dilution.”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never declared or paid any cash dividends on our ordinary shares. In addition, Israeli law may limit our declaration or payment of dividends, and may subject our dividends to Israeli withholding taxes. We currently intend to retain any future earnings to finance operations and to expand our business and, therefore, do not expect to pay any cash dividends in the foreseeable future.</w:t>
      </w:r>
    </w:p>
    <w:p>
      <w:pPr>
        <w:spacing w:after="0" w:line="164"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b w:val="1"/>
          <w:b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4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Upon consummation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We do, however, intend to make available to our shareholders quarterly reports containing unaudited financial information for each of the first three quarters of each fiscal year.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62" w:lineRule="exact"/>
        <w:rPr>
          <w:sz w:val="20"/>
          <w:szCs w:val="20"/>
          <w:color w:val="auto"/>
        </w:rPr>
      </w:pPr>
    </w:p>
    <w:p>
      <w:pPr>
        <w:ind w:right="560"/>
        <w:spacing w:after="0" w:line="251" w:lineRule="auto"/>
        <w:rPr>
          <w:sz w:val="20"/>
          <w:szCs w:val="20"/>
          <w:color w:val="auto"/>
        </w:rPr>
      </w:pPr>
      <w:r>
        <w:rPr>
          <w:rFonts w:ascii="Arial" w:cs="Arial" w:eastAsia="Arial" w:hAnsi="Arial"/>
          <w:sz w:val="18"/>
          <w:szCs w:val="18"/>
          <w:b w:val="1"/>
          <w:bCs w:val="1"/>
          <w:color w:val="auto"/>
        </w:rPr>
        <w:t>As a foreign private issuer and as permitted by the listing requirements of the NASDAQ Capital Market, we will follow certain home country governance practices rather than the corporate governance requirements of the NASDAQ Capital Market.</w:t>
      </w:r>
    </w:p>
    <w:p>
      <w:pPr>
        <w:spacing w:after="0" w:line="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a foreign private issuer, we have the option to follow certain Israeli corporate governance practices rather than those of the NASDAQ Capital Market, except to the extent that such laws would be contrary to U.S. securities laws, and provided that we disclose the requirements we are not following and describe the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home country practices we follow instead. We intend to rely on this “foreign private issuer exemption” with respect to the NASDAQ Capital Market shareholder approval requirements in respect of equity issuances and equity-based compensation plans and the quorum requirement for meetings of our shareholders. In addition, we intend to rely on the “foreign private issuer exemption” with respect to the NASDAQ Capital Market compensation committee requirements, independent approval of board nominations, the requirement to have a majority of independent directors on our board, third party compensation of directors and director nominees and the requirement for independent directors to hold executive sessions. We may in the future elect to follow home country practices in Israel with regard to other matters. As a result, our shareholders may not have the same protections afforded to shareholders of companies that are subject to all NASDAQ Capital Market corporate governance requirements.</w:t>
      </w:r>
    </w:p>
    <w:p>
      <w:pPr>
        <w:spacing w:after="0" w:line="160"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b w:val="1"/>
          <w:bCs w:val="1"/>
          <w:color w:val="auto"/>
        </w:rPr>
        <w:t>We may lose our status as a foreign private issuer, which would increase our compliance costs and could thereby negatively impact our results of operations.</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We will not maintain our current status as a foreign private issuer, if (a) a majority of our ordinary shares is not either directly or indirectly owned of record by non-residents of the United States and (b) one of the following applies: (i) a majority of our executive officers or directors are United States citizens or residents, (ii) more than 50 percent of our assets are located in the United States or (iii) our business is administered principally inside the United States.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governance practices associated with U.S. domestic issuers. Such modifications will involve additional costs. In addition, we may lose our ability to rely upon exemptions from certain corporate governance requirements on the NASDAQ Capital Market that are available to foreign private issuers.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66"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b w:val="1"/>
          <w:bCs w:val="1"/>
          <w:color w:val="auto"/>
        </w:rPr>
        <w:t>There is a risk that we will be a passive foreign investment company, or a PFIC, for U.S. federal income tax purposes for any taxable year, which generally would result in certain adverse U.S. federal income tax consequences to our U.S. shareholders.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general, a non-U.S. corporation is a “passive foreign investment company,” or a PFIC, for any taxable year in which (i) 75% or more of its gross income consists of passive income, or the income test, or (ii) 50% or more of the average quarterly value of its assets consists of assets that produce, or are held for the production of, passive income, or the assets test. Generally, “passive income” includes interest, dividends, rents, royalties and certain gains, and cash (including cash raised in this offering) is a passive asset for PFIC purposes. 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would not be a PFIC if it otherwise would not be a PFIC under the assets test for the relevant taxable year, but there can be no assurance that the Internal Revenue Service will respect, or a court will uphold, such position. If we were a PFIC for any taxable year during which a U.S. investor owned our ordinary shares (or under proposed Treasury regulations, warrants), such U.S. shareholder generally will be subject to certain adverse U.S. federal income tax consequences, including increased tax liability on gains from dispositions of the ordinary shares (or warrants) and certain distributions and a requirement to file annual reports with the Internal Revenue Service. See “Taxation and Government Programs — Material U.S. Federal Income Tax Considerations for U.S. Holders — Passive Foreign Investment Company Rules” for more information.</w:t>
      </w:r>
    </w:p>
    <w:p>
      <w:pPr>
        <w:spacing w:after="0" w:line="161"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b w:val="1"/>
          <w:bCs w:val="1"/>
          <w:color w:val="auto"/>
        </w:rPr>
        <w:t>We are an “emerging growth company” and we cannot be certain whether the reduced requirements applicable to “emerging growth companies” will make our ordinary shares less attractive to investors.</w:t>
      </w:r>
    </w:p>
    <w:p>
      <w:pPr>
        <w:spacing w:after="0" w:line="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requirements that are applicable to other public companies that are not “emerging growth companies.” For instance, for so long as we remain an “emerging growth company,” we will not be subject to the provision of Section 404(b) of the Sarbanes-Oxley Act that requires our independent registered public accounting firm to provide an attestation report on the effectiveness of our internal control over financial reporting. This may increase the risk that we will fail to detect and remedy any weaknesses or deficiencies in our internal control over financial reporting. We have also elected to include two years of audited financial statements and selected financial data, as permitted for an “emerging growth company” compared to three and five years, respectively, for comparable data reported by other public companies. In general, these reduced reporting requirements may allow us to refrain from disclosing information that you may find important.</w:t>
      </w:r>
    </w:p>
    <w:p>
      <w:pPr>
        <w:spacing w:after="0" w:line="5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could be an “emerging growth company” for up to five years, although circumstances could cause us to lose that status earlier, including if the market value of our ordinary shares held by non-affiliates exceeds $700 million as of any June 30 (the end of our second fiscal quarter) before that time, in which case we would no longer be an “emerging growth company” as of the following December 31 (our fiscal year end). When we are no longer deemed to be an “emerging growth company,” we will not be entitled to the exemptions provided in the JOBS Act.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6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color w:val="auto"/>
        </w:rPr>
        <w:t>We have not yet determined whether our existing internal control over financial reporting is compliant with Section 404 of the Sarbanes-Oxley Act, and we cannot provide any assurance that there are no material weaknesses or significant deficiencies in our existing internal controls.</w:t>
      </w:r>
    </w:p>
    <w:p>
      <w:pPr>
        <w:spacing w:after="0" w:line="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or Section 404,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only initially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addition,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3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unfavorable research about our business, our share price and trading volume could decline.</w:t>
      </w:r>
    </w:p>
    <w:p>
      <w:pPr>
        <w:spacing w:after="0" w:line="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trading market for our ordinary shares will depend in part on the research and reports that securities or industry analysts publish about us or our business. We do not currently have and may never obtain research coverage by securities and industry analysts. If securities or industry analysts do not commence coverage of our company, the trading price for our shares would be negatively affected. In the event we obtain securities 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Incorporation and Location in Israel</w:t>
      </w:r>
    </w:p>
    <w:p>
      <w:pPr>
        <w:spacing w:after="0" w:line="19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b w:val="1"/>
          <w:bCs w:val="1"/>
          <w:color w:val="auto"/>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spacing w:after="0" w:line="5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research and development efforts have been financed, in part, through the grants that we have received from the Israeli Innovation Authority (formerly known as the Office of Chief Scientist of the Israeli Ministry of Economy), or the IIA. Pursuant to these grants, we must comply with the requirements of the Encouragement of Industrial Research, Development and Technological Innovation in Industry Law 5744-1984, or the Research Law. Until the grants are repaid with interest, royalties are payable to the IIA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the royalty rate may be increased and we may be required to pay up to three times the grant amounts plus interest, depending on the manufacturing volume that is performed outside of Israel. This restriction may impair our ability to outsource manufacturing or engage in our own manufacturing operations for those products or technologies. See “Business — The Israeli Innovation Authority Grant” for additional information.</w:t>
      </w:r>
    </w:p>
    <w:p>
      <w:pPr>
        <w:spacing w:after="0" w:line="8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Additionally, under the Research Law, we are prohibited from transferring in any manner (including by way of license), the IIA-financed technologies and related rights (including know-how and other intellectual property rights) outside of the State of Israel, except under limited circumstances and only with the approval of the IIA Research Committee. We may not receive the required approvals for any proposed transfer and, even if received, we may be required to pay the IIA a portion of the consideration that we receive upon any transfer of such technology to a non-Israeli entity up to 600% of the grant amounts plus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restrictions on the transfer of know-how and the obligation to pay royalties. No assurance can be made that approval to any such transfer, if requested, will be granted. Transfer of know-how or rights outside of the state of Israel without IIA approval is a criminal offense.</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restrictions may impair our ability to sell our technology assets or to perform or outsource manufacturing outside of Israel, engage in change of control transactions or otherwise transfer our know-how outside of Israel and may require us to obtain the approval of the IIA for certain actions and transactions and pay additional royalties and other amounts to the IIA. In addition, any change of control and any change of ownership of our ordinary shares (including by way of an initial public offering) that would make a non-Israeli citizen or resident an “interested party,” as defined in the Israeli Securities Law, 5728-1968, as amended, or the Securities Law, requires written notice to the IIA, and our failure to comply with this requirement could result in monetary fines. Such non-Israeli interested parties, which include 5% shareholders and shareholders who have the right to appoint a director to our board of directors, are required to sign an undertaking towards the IIA in which they would undertake to comply with the Research Law. Shareholders that purchase shares in an IPO would not be required to sign such an undertaking.</w:t>
      </w:r>
    </w:p>
    <w:p>
      <w:pPr>
        <w:spacing w:after="0" w:line="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These restrictions will continue to apply even after we have repaid the full amount of the grants. If we fail to satisfy the conditions of the Research Law, we may be required to refund certain grants previously received together with interest and penalties, and may become subject to criminal charges.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political and economic instability in the Middle East may harm our business.</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principal offices and research and development facilities are located in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and Hezbollah (an Islamist militia and political group in Lebanon). Recent political uprisings, social unrest and violence in various countries in the Middle East and North Africa, including Israel’s neighbors Egypt and Syria, are affecting the political stability of those countries. This instability may lead to deterioration of the political relationships that exist between Israel and certain countries and have raised concerns regarding security in the region and the potential for armed conflict. In addition, Iran has threatened to attack Israel. Iran is also believed to have a strong influence among the Syrian government, Hamas and Hezbollah. These situations may potentially escalate in the future into more violent events which may affect Israel and us. These situations, including conflicts which involved missile strikes against civilian targets in various parts of Israel have in the past negatively affected business conditions in Israel.</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hostilities involving Israel or the interruption or curtailment of trade between Israel and its present trading partners could have a material adverse effect on our business. Although such hostilities did not in the past have a material adverse impact on our business, we cannot guarantee that hostilities will not be renewed and have such an effect in the future. The political and security situation in Israel may result in parties with whom we have contracts claiming that they are not obligated to perform their commitments under those agreements pursuant to force majeure provisions. These or other Israeli political or economic factors could harm our operations and product development. Any hostilities involving Israel or the interruption or curtailment of trade between Israel and its present trading partners could adversely affect our operations and could make it more difficult for us to raise capital. We could experience disruptions if acts associated with this conflict result in any serious damage to our facilities. Furthermore, several countries restrict business with Israel and Israeli companies, which could have an adverse effect on our business. Our business interruption insurance may not adequately compensate us for losses, if at all, that may occur as a result of an event associated with a security situation in the Middle East, and any losses or damages incurred by us could have a material adverse effect on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disrupted by the obligations of personnel to perform military service.</w:t>
      </w:r>
    </w:p>
    <w:p>
      <w:pPr>
        <w:spacing w:after="0" w:line="10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employees in Israel, including executive officers, may be called upon to perform up to 36 days (and in some cases more) of annual military reserve duty until they reach the age of 40 (or older in some cases) and, in emergency circumstances, could be called to active duty. In response to increased tension and hostilities, since September 2000 there have been occasional call-ups of military reservists, including in connection with</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mid-2006 war in Lebanon and the December 2008, November 2012 and July 2014 conflicts with Hamas, and it is possible that there will be additional call-ups in the future. Our operations could be disrupted by the absence of a significant number of our employees related to military service or the absence for extended periods of one or more of our key employees for military service. Such disruption could materially adversely affect our operations, business and results of operations.</w:t>
      </w:r>
    </w:p>
    <w:p>
      <w:pPr>
        <w:spacing w:after="0" w:line="16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b w:val="1"/>
          <w:bCs w:val="1"/>
          <w:color w:val="auto"/>
        </w:rPr>
        <w:t>Our business is subject to currency exchange risk and fluctuations between the U.S. dollar and other currencies may negatively affect our earnings and results of operations.</w:t>
      </w:r>
    </w:p>
    <w:p>
      <w:pPr>
        <w:spacing w:after="0" w:line="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 are incurred in NIS. Consequently, inflation in Israel will have the effect of increasing the cost of our operations in Israel unless it is offset on a timely basis by a devaluation of the NIS relative to the 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w:t>
      </w:r>
    </w:p>
    <w:p>
      <w:pPr>
        <w:spacing w:after="0" w:line="7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Potential future revenue may be derived from abroad, including outside of the United States. As a result, our business and share price may be affected by fluctuations in foreign exchange rates with these other currencies, 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to enforce a U.S. judgment against us or our officers and directors and to assert U.S. securities laws claims in Israel.</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incorporated under the laws of the State of Israel. Service of process upon us, our directors and officers and the Israeli experts, if any, named in this prospectus, substantially all of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it may be difficult for an investor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See the section entitled “Enforceability of Civil Liabilities.”</w:t>
      </w:r>
    </w:p>
    <w:p>
      <w:pPr>
        <w:spacing w:after="0" w:line="176"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b w:val="1"/>
          <w:bCs w:val="1"/>
          <w:color w:val="auto"/>
        </w:rPr>
        <w:t>Provisions of Israeli law and our amended Articles may give rise to withholding obligations or delay, prevent or make difficult a change of control and therefore depress the price of our shares.</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the Israeli Companies Law, 5759-1999, or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For additional information regarding the regulation of mergers and tender offers under the Israeli Companies Law, see “Description of Share Capital — Anti-Takeover Provisions; Mergers and Acquisitions.”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amended Articles provide that our directors (other than external directors) are elected on a staggered basis such that a potential acquirer cannot readily replace our entire board of directors at a single general shareholders meeting.</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amended Articles.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of the IPO Transactions that will be completed in connection with the closing of this offering may be treated, for Israeli income tax purposes, as taxable exchanges, which may give rise to withholding obligations applicable to us, absent a ruling or other written instructions issued by the Israel Tax Authority providing otherwise. We have not applied to the Israel Tax Authority for a ruling or other instructions with respect to any potential withholding obligations we may have in connection with such IPO Transactions. In the event that it is determined that we failed to withhold any applicable withholding tax in connection with such IPO Transactions, in addition to the liability to pay such taxes, we may be liable for payment of interest, and certain penalties and fines.</w:t>
      </w:r>
    </w:p>
    <w:p>
      <w:pPr>
        <w:spacing w:after="0" w:line="176" w:lineRule="exact"/>
        <w:rPr>
          <w:sz w:val="20"/>
          <w:szCs w:val="20"/>
          <w:color w:val="auto"/>
        </w:rPr>
      </w:pPr>
    </w:p>
    <w:p>
      <w:pPr>
        <w:ind w:right="1040"/>
        <w:spacing w:after="0" w:line="251" w:lineRule="auto"/>
        <w:rPr>
          <w:sz w:val="20"/>
          <w:szCs w:val="20"/>
          <w:color w:val="auto"/>
        </w:rPr>
      </w:pPr>
      <w:r>
        <w:rPr>
          <w:rFonts w:ascii="Arial" w:cs="Arial" w:eastAsia="Arial" w:hAnsi="Arial"/>
          <w:sz w:val="18"/>
          <w:szCs w:val="18"/>
          <w:b w:val="1"/>
          <w:bCs w:val="1"/>
          <w:color w:val="auto"/>
        </w:rPr>
        <w:t>Your rights and responsibilities as a shareholder will be governed by Israeli law, which may differ in some respects from the rights and responsibilities of shareholders of U.S. companies.</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incorporated under Israeli law. The rights and responsibilities of the holders of our ordinary shares are governed by our then-current articles of association and Israeli law. These rights and responsibilities 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 See “Description of Share Capital — Our Ordinary Shares.”</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include all statements that are not historical facts and can be identified by words such as, but not limited to, “believe,” “expect,” “anticipate,” “estimate,” “intend,” “plan,” “targets,” “likely,” “will,” “would,” “could,” and similar expressions or phrases. We have based these forward-looking statements largely on our management’s current expectations and future events and financial trends that we believe may affect our financial condition, results of operations, business strategy and financial needs. Forward-looking statements include, but are not limited to, statements about:</w:t>
      </w:r>
    </w:p>
    <w:p>
      <w:pPr>
        <w:spacing w:after="0" w:line="151" w:lineRule="exact"/>
        <w:rPr>
          <w:sz w:val="20"/>
          <w:szCs w:val="20"/>
          <w:color w:val="auto"/>
        </w:rPr>
      </w:pPr>
    </w:p>
    <w:p>
      <w:pPr>
        <w:ind w:left="720" w:right="800" w:hanging="352"/>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 and our ability to fund our operations going forward;</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720" w:right="520" w:hanging="352"/>
        <w:spacing w:after="0" w:line="26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that we will be able to demonstrate to regulators the clinical superiority of EB612 over Natpara, which is required to overcome Natpara’s drug exclusivity;</w:t>
      </w:r>
    </w:p>
    <w:p>
      <w:pPr>
        <w:spacing w:after="0" w:line="15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competitive position, especially with respect to Natpara, our key competitor for hypoparathyroidism treatment;</w:t>
      </w:r>
    </w:p>
    <w:p>
      <w:pPr>
        <w:spacing w:after="0" w:line="184" w:lineRule="exact"/>
        <w:rPr>
          <w:rFonts w:ascii="Arial" w:cs="Arial" w:eastAsia="Arial" w:hAnsi="Arial"/>
          <w:sz w:val="18"/>
          <w:szCs w:val="18"/>
          <w:color w:val="auto"/>
        </w:rPr>
      </w:pPr>
    </w:p>
    <w:p>
      <w:pPr>
        <w:ind w:left="720" w:right="980" w:hanging="352"/>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recurring losses from operations have raised substantial doubt regarding our ability to continue as a going concern absent access to sources of liquidity;</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forward-looking statements involve risks, assumptions and uncertainties. You should not rely upon forward-looking statements as predictors of future events. The occurrence of the events described, and the achievement of expected results, depend on many events, some or all of which are not predictable or within our control. Actual results may differ materially from expected results. See the sections below “Risk Factors” and “Management’s Discussion and Analysis of Financial Condition and Results of Operations”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All of the forward-looking statements we have included in this prospectus are based on information available to us on the date of this prospectus. We undertake no obligation, and specifically decline any obligation, to update publicly or revise any forward-looking statements, whether as a result of new information, future events or otherwise. In light of these risks, uncertainties and assumptions, the forward-looking events discussed in this prospectus might not occur.</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We estimate that we will receive net proceeds of approximately $10.0 million from our sale of units in this offering (or approximately $11.7 million if the underwriters fully exercise their over-allotment option), after deducting the estimated underwriting discounts and commissions and the estimated offering expenses payable by us. The foregoing description of estimated net proceeds does not give effect to the proceeds, if any, from the potential exercise of the warrants offered hereby. This assumes an initial public offering price of $9.00 per unit, which is the midpoint of the estimated offering price range on the cover page of this prospectus.</w:t>
      </w:r>
    </w:p>
    <w:p>
      <w:pPr>
        <w:spacing w:after="0" w:line="80"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As of March 31, 2018, we had cash and cash equivalents of $9.2 million. We intend to use the net proceeds from this offering, together with our cash and cash equivalents, as follows:</w:t>
      </w:r>
    </w:p>
    <w:p>
      <w:pPr>
        <w:spacing w:after="0" w:line="35" w:lineRule="exact"/>
        <w:rPr>
          <w:sz w:val="20"/>
          <w:szCs w:val="20"/>
          <w:color w:val="auto"/>
        </w:rPr>
      </w:pPr>
    </w:p>
    <w:p>
      <w:pPr>
        <w:ind w:left="720" w:right="560" w:hanging="352"/>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$8.5 million to fund research and development expenses of our oral PTH candidate, EB612 required to conduct and complete the preparatory work for our planned Phase 2b/3 trial related to hypoparathyroidism;</w:t>
      </w:r>
    </w:p>
    <w:p>
      <w:pPr>
        <w:spacing w:after="0" w:line="21" w:lineRule="exact"/>
        <w:rPr>
          <w:rFonts w:ascii="Arial" w:cs="Arial" w:eastAsia="Arial" w:hAnsi="Arial"/>
          <w:sz w:val="18"/>
          <w:szCs w:val="18"/>
          <w:color w:val="auto"/>
        </w:rPr>
      </w:pPr>
    </w:p>
    <w:p>
      <w:pPr>
        <w:ind w:left="720" w:right="660" w:hanging="352"/>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$7.0 million to fund research and development expenses of our oral PTH candidate, EB613 required to conduct our planned Phase 2a study related to osteoporosis; and</w:t>
      </w:r>
    </w:p>
    <w:p>
      <w:pPr>
        <w:spacing w:after="0" w:line="21"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our ability to obtain additional financing, the relative success and cost of our research, preclinical and clinical development programs, including a change in our planned course of development or the termination of a clinical program necessitated by the results of data received from clinical trials, the amount and timing of revenues, if any, received from future collaborations. As a result, management will have broad discretion in the application of the net proceeds, and investors will be relying on our judgment regarding the application of the net proceeds of this offering. In addition, we might decide to postpone or not pursue other clinical trials or preclinical activities if the net proceeds from this offering and our other sources of cash are less than expected.</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our planned use of the net proceeds of this offering and our current cash and cash equivalents described above, we estimate that such funds will be sufficient to enable us to fund our operating expenses and capital expenditure requirements for at least 12 months. Following the completion of this offering, we will need additional capital for the Phase 2b/3 trial of our oral PTH candidate EB612 (following the preparatory work funded from the proceeds of this offering) and for other trials, marketing and sales development for EB612, if approved. We have based these estimates on assumptions that may prove to be incorrect, and we could use our available capital resources sooner than we currently expect. For additional information regarding our capital requirements, see “Even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 under the heading “Risk Factors.”</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financial assets and certificates of deposit.</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$1.00 increase (decrease) in the assumed initial public offering price of $9.00 per unit, the midpoint of the range set forth on the cover page of this prospectus, would increase (decrease) our net proceeds from this offering by approximately $1.2 million (or $1.4 million if the underwriters fully exercise their over-allotment option), assuming the number of units offered by us remains the same.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also increase or decrease the number of units we are offering. An increase (decrease) of 200,000 units offered by us would increase (decrease) our net proceeds from this offering by $1.66 million, assuming the public offering price per unit remains the same. The information on net proceeds payable to us discussed above is illustrative only and will adjust based on the actual initial public offering price, the actual number of units offered by us, and other terms of the offering determined at pricing.</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never declared or paid any cash dividends on our ordinary shares and we do not anticipate paying any cash dividends on our ordinary shares in the future. We currently intend to retain all future earnings to finance our operations and to expand our business. Any future determination relating to our dividend policy will be made at the discretion of our board of directors and will depend on a number of factors, which may include future earnings, capital requirements, financial condition and future prospects and other factors the board of directors may deem relevant. Our ability to distribute dividends is limited under Israeli law, as described below under “Description of Share Capital — Our Ordinary Shares — Dividends and Liquidation Rights.”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2017:</w:t>
      </w:r>
    </w:p>
    <w:p>
      <w:pPr>
        <w:spacing w:after="0" w:line="117" w:lineRule="exact"/>
        <w:rPr>
          <w:sz w:val="20"/>
          <w:szCs w:val="20"/>
          <w:color w:val="auto"/>
        </w:rPr>
      </w:pPr>
    </w:p>
    <w:p>
      <w:pPr>
        <w:ind w:left="720" w:hanging="35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720" w:hanging="35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to give effect to the IPO Transactions, as described in “Summary — The Offering”; and</w:t>
      </w:r>
    </w:p>
    <w:p>
      <w:pPr>
        <w:spacing w:after="0" w:line="103" w:lineRule="exact"/>
        <w:rPr>
          <w:rFonts w:ascii="Arial" w:cs="Arial" w:eastAsia="Arial" w:hAnsi="Arial"/>
          <w:sz w:val="18"/>
          <w:szCs w:val="18"/>
          <w:color w:val="auto"/>
        </w:rPr>
      </w:pPr>
    </w:p>
    <w:p>
      <w:pPr>
        <w:ind w:left="720" w:right="700" w:hanging="352"/>
        <w:spacing w:after="0" w:line="255"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(a) the IPO Transactions; (b) our sale in this offering of 1,333,334 units (which does not include the 30-day option to purchase up to an additional 200,000 ordinary shares and/or 200,000 additional warrants to purchase up to a total of 100,000 ordinary shares that we have granted to the underwriters to cover over-allotments, if any, or the ordinary shares issuable upon exercise of the warrants offered hereby) at an assumed initial public offering price of $9.00 per unit, which is the midpoint of the estimated offering price range on the cover page of this prospectus, after deducting the estimated underwriting discounts and commissions and estimated offering expenses payable by us; and (c) the issuance of 10,000 ordinary shares to the representative upon the closing of this offering.</w:t>
      </w:r>
    </w:p>
    <w:p>
      <w:pPr>
        <w:spacing w:after="0" w:line="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You should read this table together with our financial statements and the related notes included elsewhere in this prospectus and the “Management’s Discussion and Analysis of Financial Condition and Results of Operations” and “Certain Relationships and Related Party Transactions” sections and other information contained in this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0"/>
              </w:rPr>
              <w:t>As of December 31, 2017</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46"/>
        </w:trPr>
        <w:tc>
          <w:tcPr>
            <w:tcW w:w="6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gridSpan w:val="2"/>
          </w:tcPr>
          <w:p>
            <w:pPr>
              <w:jc w:val="right"/>
              <w:ind w:right="190"/>
              <w:spacing w:after="0" w:line="147" w:lineRule="exact"/>
              <w:rPr>
                <w:sz w:val="20"/>
                <w:szCs w:val="20"/>
                <w:color w:val="auto"/>
              </w:rPr>
            </w:pPr>
            <w:r>
              <w:rPr>
                <w:rFonts w:ascii="Arial" w:cs="Arial" w:eastAsia="Arial" w:hAnsi="Arial"/>
                <w:sz w:val="14"/>
                <w:szCs w:val="14"/>
                <w:b w:val="1"/>
                <w:bCs w:val="1"/>
                <w:color w:val="auto"/>
              </w:rPr>
              <w:t>Pro forma as</w:t>
            </w:r>
          </w:p>
        </w:tc>
      </w:tr>
      <w:tr>
        <w:trPr>
          <w:trHeight w:val="185"/>
        </w:trPr>
        <w:tc>
          <w:tcPr>
            <w:tcW w:w="692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(Audited)</w:t>
            </w:r>
          </w:p>
        </w:tc>
        <w:tc>
          <w:tcPr>
            <w:tcW w:w="18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Pro forma</w:t>
            </w:r>
          </w:p>
        </w:tc>
        <w:tc>
          <w:tcPr>
            <w:tcW w:w="12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Adjusted</w:t>
            </w:r>
          </w:p>
        </w:tc>
      </w:tr>
      <w:tr>
        <w:trPr>
          <w:trHeight w:val="156"/>
        </w:trPr>
        <w:tc>
          <w:tcPr>
            <w:tcW w:w="6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gridSpan w:val="2"/>
          </w:tcPr>
          <w:p>
            <w:pPr>
              <w:jc w:val="center"/>
              <w:ind w:right="30"/>
              <w:spacing w:after="0" w:line="155" w:lineRule="exact"/>
              <w:rPr>
                <w:sz w:val="20"/>
                <w:szCs w:val="20"/>
                <w:color w:val="auto"/>
              </w:rPr>
            </w:pPr>
            <w:r>
              <w:rPr>
                <w:rFonts w:ascii="Arial" w:cs="Arial" w:eastAsia="Arial" w:hAnsi="Arial"/>
                <w:sz w:val="14"/>
                <w:szCs w:val="14"/>
                <w:color w:val="auto"/>
                <w:w w:val="91"/>
              </w:rPr>
              <w:t>(In thousands)</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4"/>
              </w:rPr>
              <w:t>11,746</w:t>
            </w:r>
          </w:p>
        </w:tc>
        <w:tc>
          <w:tcPr>
            <w:tcW w:w="8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4"/>
              </w:rPr>
              <w:t>11,746</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94"/>
              </w:rPr>
              <w:t>21,771</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Convertible loans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3,893</w:t>
            </w:r>
          </w:p>
        </w:tc>
        <w:tc>
          <w:tcPr>
            <w:tcW w:w="800" w:type="dxa"/>
            <w:vAlign w:val="bottom"/>
          </w:tcPr>
          <w:p>
            <w:pPr>
              <w:ind w:left="68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6282690</wp:posOffset>
            </wp:positionH>
            <wp:positionV relativeFrom="paragraph">
              <wp:posOffset>-368300</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-368300</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3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Series A preferred shares of NIS 0.01 par value; 25,000 authorized, 10,222 issued and</w:t>
            </w: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outstanding, actual; no authorized, no issued and outstanding, pro forma; no shares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authorized, issued and outstanding, pro forma as adjusted</w:t>
            </w: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8,810</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380" w:type="dxa"/>
            <w:vAlign w:val="bottom"/>
            <w:gridSpan w:val="4"/>
          </w:tcPr>
          <w:p>
            <w:pPr>
              <w:spacing w:after="0" w:line="201" w:lineRule="exact"/>
              <w:rPr>
                <w:sz w:val="20"/>
                <w:szCs w:val="20"/>
                <w:color w:val="auto"/>
              </w:rPr>
            </w:pPr>
            <w:r>
              <w:rPr>
                <w:rFonts w:ascii="Arial" w:cs="Arial" w:eastAsia="Arial" w:hAnsi="Arial"/>
                <w:sz w:val="18"/>
                <w:szCs w:val="18"/>
                <w:color w:val="auto"/>
                <w:w w:val="98"/>
              </w:rPr>
              <w:t>Series B preferred shares of NIS 0.01 par value; 35,000 authorized, 14,283 shares issued and</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60" w:type="dxa"/>
            <w:vAlign w:val="bottom"/>
            <w:gridSpan w:val="3"/>
          </w:tcPr>
          <w:p>
            <w:pPr>
              <w:ind w:left="40"/>
              <w:spacing w:after="0"/>
              <w:rPr>
                <w:sz w:val="20"/>
                <w:szCs w:val="20"/>
                <w:color w:val="auto"/>
              </w:rPr>
            </w:pPr>
            <w:r>
              <w:rPr>
                <w:rFonts w:ascii="Arial" w:cs="Arial" w:eastAsia="Arial" w:hAnsi="Arial"/>
                <w:sz w:val="18"/>
                <w:szCs w:val="18"/>
                <w:color w:val="auto"/>
              </w:rPr>
              <w:t>outstanding, actual; no authorized, no issued and outstanding, pro forma; no shares</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60" w:type="dxa"/>
            <w:vAlign w:val="bottom"/>
            <w:gridSpan w:val="3"/>
          </w:tcPr>
          <w:p>
            <w:pPr>
              <w:ind w:left="40"/>
              <w:spacing w:after="0"/>
              <w:rPr>
                <w:sz w:val="20"/>
                <w:szCs w:val="20"/>
                <w:color w:val="auto"/>
              </w:rPr>
            </w:pPr>
            <w:r>
              <w:rPr>
                <w:rFonts w:ascii="Arial" w:cs="Arial" w:eastAsia="Arial" w:hAnsi="Arial"/>
                <w:sz w:val="18"/>
                <w:szCs w:val="18"/>
                <w:color w:val="auto"/>
              </w:rPr>
              <w:t>authorized, issued and outstanding, pro forma as adjusted</w:t>
            </w: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12,980</w:t>
            </w: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3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Series B-1 preferred shares of NIS 0.01 par value; 17,000 authorized, 13,229 shares issued</w:t>
            </w: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and outstanding, actual; no authorized, no issued and outstanding, pro forma; no shares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authorized, issued and outstanding, pro forma as adjusted</w:t>
            </w: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11,665</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380" w:type="dxa"/>
            <w:vAlign w:val="bottom"/>
            <w:gridSpan w:val="4"/>
          </w:tcPr>
          <w:p>
            <w:pPr>
              <w:spacing w:after="0" w:line="202" w:lineRule="exact"/>
              <w:rPr>
                <w:sz w:val="20"/>
                <w:szCs w:val="20"/>
                <w:color w:val="auto"/>
              </w:rPr>
            </w:pPr>
            <w:r>
              <w:rPr>
                <w:rFonts w:ascii="Arial" w:cs="Arial" w:eastAsia="Arial" w:hAnsi="Arial"/>
                <w:sz w:val="18"/>
                <w:szCs w:val="18"/>
                <w:color w:val="auto"/>
              </w:rPr>
              <w:t>Warrants to purchase preferred shares and ordinary shares</w:t>
            </w:r>
          </w:p>
        </w:tc>
        <w:tc>
          <w:tcPr>
            <w:tcW w:w="158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5,398</w:t>
            </w:r>
          </w:p>
        </w:tc>
        <w:tc>
          <w:tcPr>
            <w:tcW w:w="14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6"/>
                <w:szCs w:val="16"/>
                <w:color w:val="auto"/>
              </w:rPr>
              <w:t>2,240</w:t>
            </w:r>
            <w:r>
              <w:rPr>
                <w:rFonts w:ascii="Arial" w:cs="Arial" w:eastAsia="Arial" w:hAnsi="Arial"/>
                <w:sz w:val="23"/>
                <w:szCs w:val="23"/>
                <w:color w:val="auto"/>
                <w:vertAlign w:val="superscript"/>
              </w:rPr>
              <w:t>(1)</w:t>
            </w:r>
          </w:p>
        </w:tc>
      </w:tr>
      <w:tr>
        <w:trPr>
          <w:trHeight w:val="311"/>
        </w:trPr>
        <w:tc>
          <w:tcPr>
            <w:tcW w:w="20" w:type="dxa"/>
            <w:vAlign w:val="bottom"/>
          </w:tcPr>
          <w:p>
            <w:pPr>
              <w:spacing w:after="0"/>
              <w:rPr>
                <w:sz w:val="24"/>
                <w:szCs w:val="24"/>
                <w:color w:val="auto"/>
              </w:rPr>
            </w:pPr>
          </w:p>
        </w:tc>
        <w:tc>
          <w:tcPr>
            <w:tcW w:w="7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(capital deficiency):</w:t>
            </w:r>
          </w:p>
        </w:tc>
        <w:tc>
          <w:tcPr>
            <w:tcW w:w="6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7380" w:type="dxa"/>
            <w:vAlign w:val="bottom"/>
            <w:gridSpan w:val="4"/>
          </w:tcPr>
          <w:p>
            <w:pPr>
              <w:spacing w:after="0" w:line="201" w:lineRule="exact"/>
              <w:rPr>
                <w:sz w:val="20"/>
                <w:szCs w:val="20"/>
                <w:color w:val="auto"/>
              </w:rPr>
            </w:pPr>
            <w:r>
              <w:rPr>
                <w:rFonts w:ascii="Arial" w:cs="Arial" w:eastAsia="Arial" w:hAnsi="Arial"/>
                <w:sz w:val="18"/>
                <w:szCs w:val="18"/>
                <w:color w:val="auto"/>
              </w:rPr>
              <w:t>Ordinary shares; 1,000,000 authorized, 34,544 issued and outstanding, actual, of NIS 0.01</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60" w:type="dxa"/>
            <w:vAlign w:val="bottom"/>
            <w:gridSpan w:val="3"/>
          </w:tcPr>
          <w:p>
            <w:pPr>
              <w:ind w:left="40"/>
              <w:spacing w:after="0"/>
              <w:rPr>
                <w:sz w:val="20"/>
                <w:szCs w:val="20"/>
                <w:color w:val="auto"/>
              </w:rPr>
            </w:pPr>
            <w:r>
              <w:rPr>
                <w:rFonts w:ascii="Arial" w:cs="Arial" w:eastAsia="Arial" w:hAnsi="Arial"/>
                <w:sz w:val="18"/>
                <w:szCs w:val="18"/>
                <w:color w:val="auto"/>
              </w:rPr>
              <w:t>par value; 130,000,000 authorized, 10,018,320 issued and outstanding, pro forma of NIS</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60" w:type="dxa"/>
            <w:vAlign w:val="bottom"/>
            <w:gridSpan w:val="3"/>
          </w:tcPr>
          <w:p>
            <w:pPr>
              <w:ind w:left="40"/>
              <w:spacing w:after="0"/>
              <w:rPr>
                <w:sz w:val="20"/>
                <w:szCs w:val="20"/>
                <w:color w:val="auto"/>
              </w:rPr>
            </w:pPr>
            <w:r>
              <w:rPr>
                <w:rFonts w:ascii="Arial" w:cs="Arial" w:eastAsia="Arial" w:hAnsi="Arial"/>
                <w:sz w:val="18"/>
                <w:szCs w:val="18"/>
                <w:color w:val="auto"/>
              </w:rPr>
              <w:t>0.0000769 par value; 130,000,000 authorized, 11,361,654 issued and outstanding, pro</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60" w:type="dxa"/>
            <w:vAlign w:val="bottom"/>
            <w:gridSpan w:val="3"/>
          </w:tcPr>
          <w:p>
            <w:pPr>
              <w:ind w:left="40"/>
              <w:spacing w:after="0"/>
              <w:rPr>
                <w:sz w:val="20"/>
                <w:szCs w:val="20"/>
                <w:color w:val="auto"/>
              </w:rPr>
            </w:pPr>
            <w:r>
              <w:rPr>
                <w:rFonts w:ascii="Arial" w:cs="Arial" w:eastAsia="Arial" w:hAnsi="Arial"/>
                <w:sz w:val="18"/>
                <w:szCs w:val="18"/>
                <w:color w:val="auto"/>
              </w:rPr>
              <w:t>forma as adjusted of NIS 0.0000769 par value;</w:t>
            </w: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3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58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41</w:t>
            </w:r>
          </w:p>
        </w:tc>
        <w:tc>
          <w:tcPr>
            <w:tcW w:w="14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80" w:type="dxa"/>
            <w:vAlign w:val="bottom"/>
            <w:gridSpan w:val="4"/>
          </w:tcPr>
          <w:p>
            <w:pPr>
              <w:spacing w:after="0" w:line="202" w:lineRule="exact"/>
              <w:rPr>
                <w:sz w:val="20"/>
                <w:szCs w:val="20"/>
                <w:color w:val="auto"/>
              </w:rPr>
            </w:pPr>
            <w:r>
              <w:rPr>
                <w:rFonts w:ascii="Arial" w:cs="Arial" w:eastAsia="Arial" w:hAnsi="Arial"/>
                <w:sz w:val="18"/>
                <w:szCs w:val="18"/>
                <w:color w:val="auto"/>
              </w:rPr>
              <w:t>Other reserves</w:t>
            </w:r>
          </w:p>
        </w:tc>
        <w:tc>
          <w:tcPr>
            <w:tcW w:w="158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7,361</w:t>
            </w:r>
          </w:p>
        </w:tc>
        <w:tc>
          <w:tcPr>
            <w:tcW w:w="14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12,759</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12,759</w:t>
            </w:r>
          </w:p>
        </w:tc>
      </w:tr>
      <w:tr>
        <w:trPr>
          <w:trHeight w:val="203"/>
        </w:trPr>
        <w:tc>
          <w:tcPr>
            <w:tcW w:w="20" w:type="dxa"/>
            <w:vAlign w:val="bottom"/>
          </w:tcPr>
          <w:p>
            <w:pPr>
              <w:spacing w:after="0"/>
              <w:rPr>
                <w:sz w:val="17"/>
                <w:szCs w:val="17"/>
                <w:color w:val="auto"/>
              </w:rPr>
            </w:pPr>
          </w:p>
        </w:tc>
        <w:tc>
          <w:tcPr>
            <w:tcW w:w="73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58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2,853</w:t>
            </w:r>
          </w:p>
        </w:tc>
        <w:tc>
          <w:tcPr>
            <w:tcW w:w="14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40,201</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48,420</w:t>
            </w:r>
          </w:p>
        </w:tc>
      </w:tr>
      <w:tr>
        <w:trPr>
          <w:trHeight w:val="216"/>
        </w:trPr>
        <w:tc>
          <w:tcPr>
            <w:tcW w:w="20" w:type="dxa"/>
            <w:vAlign w:val="bottom"/>
          </w:tcPr>
          <w:p>
            <w:pPr>
              <w:spacing w:after="0"/>
              <w:rPr>
                <w:sz w:val="18"/>
                <w:szCs w:val="18"/>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1580" w:type="dxa"/>
            <w:vAlign w:val="bottom"/>
            <w:gridSpan w:val="2"/>
          </w:tcPr>
          <w:p>
            <w:pPr>
              <w:jc w:val="right"/>
              <w:ind w:right="860"/>
              <w:spacing w:after="0"/>
              <w:rPr>
                <w:sz w:val="20"/>
                <w:szCs w:val="20"/>
                <w:color w:val="auto"/>
              </w:rPr>
            </w:pPr>
            <w:r>
              <w:rPr>
                <w:rFonts w:ascii="Arial" w:cs="Arial" w:eastAsia="Arial" w:hAnsi="Arial"/>
                <w:sz w:val="18"/>
                <w:szCs w:val="18"/>
                <w:color w:val="auto"/>
              </w:rPr>
              <w:t>(41,813)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(41,813)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(42,247)</w:t>
            </w:r>
          </w:p>
        </w:tc>
      </w:tr>
      <w:tr>
        <w:trPr>
          <w:trHeight w:val="210"/>
        </w:trPr>
        <w:tc>
          <w:tcPr>
            <w:tcW w:w="20" w:type="dxa"/>
            <w:vAlign w:val="bottom"/>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equity (capital deficiency)</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(31,558)</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11,188</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$ 11,188</w:t>
            </w:r>
          </w:p>
        </w:tc>
        <w:tc>
          <w:tcPr>
            <w:tcW w:w="9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$ 11,188</w:t>
            </w:r>
          </w:p>
        </w:tc>
        <w:tc>
          <w:tcPr>
            <w:tcW w:w="7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$ 21,213</w:t>
            </w:r>
          </w:p>
        </w:tc>
        <w:tc>
          <w:tcPr>
            <w:tcW w:w="320" w:type="dxa"/>
            <w:vAlign w:val="bottom"/>
          </w:tcPr>
          <w:p>
            <w:pPr>
              <w:spacing w:after="0"/>
              <w:rPr>
                <w:sz w:val="19"/>
                <w:szCs w:val="19"/>
                <w:color w:val="auto"/>
              </w:rPr>
            </w:pPr>
          </w:p>
        </w:tc>
      </w:tr>
      <w:tr>
        <w:trPr>
          <w:trHeight w:val="20"/>
        </w:trPr>
        <w:tc>
          <w:tcPr>
            <w:tcW w:w="1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47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45"/>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60" w:type="dxa"/>
            <w:vAlign w:val="bottom"/>
            <w:gridSpan w:val="3"/>
          </w:tcPr>
          <w:p>
            <w:pPr>
              <w:ind w:left="220"/>
              <w:spacing w:after="0"/>
              <w:rPr>
                <w:sz w:val="20"/>
                <w:szCs w:val="20"/>
                <w:color w:val="auto"/>
              </w:rPr>
            </w:pPr>
            <w:r>
              <w:rPr>
                <w:rFonts w:ascii="Arial" w:cs="Arial" w:eastAsia="Arial" w:hAnsi="Arial"/>
                <w:sz w:val="18"/>
                <w:szCs w:val="18"/>
                <w:color w:val="auto"/>
              </w:rPr>
              <w:t>represents an amount less than one thousand</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2"/>
          </w:tcPr>
          <w:p>
            <w:pPr>
              <w:ind w:left="548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7045960</wp:posOffset>
            </wp:positionH>
            <wp:positionV relativeFrom="paragraph">
              <wp:posOffset>-1276985</wp:posOffset>
            </wp:positionV>
            <wp:extent cx="205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66205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hanging="352"/>
        <w:spacing w:after="0" w:line="297"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accounting purposes, the warrants included in the Units offered hereby are classified as a financial liability considering, inter alia, certain adjustments to exercise price which do not meet the ‘fixed for fixed’ requirement of IAS 32 “Financial Instruments: Presentation.” Therefore, the warrants included in the Units offered are measured at fair value. The fair value of the warrants is estimated using the Monte Carlo simulation method. The main assumption used were ordinary share price of $7.32 which was valued based on the expected price of the Unit to be offered in this Offering, exercise price of $11.25 per share, expected volatility of 72%, risk free interest of 2.77% and dividend distributions of 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listed in the table above does not reflect:</w:t>
      </w:r>
    </w:p>
    <w:p>
      <w:pPr>
        <w:spacing w:after="0" w:line="185" w:lineRule="exact"/>
        <w:rPr>
          <w:sz w:val="20"/>
          <w:szCs w:val="20"/>
          <w:color w:val="auto"/>
        </w:rPr>
      </w:pPr>
    </w:p>
    <w:p>
      <w:pPr>
        <w:ind w:left="720" w:right="420" w:hanging="352"/>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3,573,700 ordinary shares issuable upon the exercise of options outstanding as of March 31, 2018 and issuable upon the closing of this offering, at a weighted average exercise price of $4.53 per share;</w:t>
      </w:r>
    </w:p>
    <w:p>
      <w:pPr>
        <w:spacing w:after="0" w:line="129" w:lineRule="exact"/>
        <w:rPr>
          <w:rFonts w:ascii="Arial" w:cs="Arial" w:eastAsia="Arial" w:hAnsi="Arial"/>
          <w:sz w:val="18"/>
          <w:szCs w:val="18"/>
          <w:color w:val="auto"/>
        </w:rPr>
      </w:pPr>
    </w:p>
    <w:p>
      <w:pPr>
        <w:ind w:left="720" w:right="500" w:hanging="352"/>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1,652,691 ordinary shares issuable upon the exercise of warrants and options outstanding as of March 31, 2018 and issuable upon the closing of this offering, at a weighted average exercise price of $5.64 per share; and</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666,667 ordinary shares issuable upon exercise of the warrants offered hereby; and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66,667 ordinary shares issuable upon exercise of the representative’s underwriter warrants as described in “Underwriting”.</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40"/>
          </w:cols>
          <w:pgMar w:left="240" w:top="132" w:right="819"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historical net tangible book value (deficit) as of December 31, 2017, was ($32.2 million), or ($7.17) per share. Historical net tangible book value (deficit) per share is calculated by subtracting our total liabilities from our total tangible assets, which is total assets less intangible assets, and dividing this amount by the 4,490,720 issued and outstanding ordinary shares as of December 31, 2017.</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 forma net tangible book value as of December 31, 2017, was $10.5 million, or $1.05 per share. Pro forma net tangible book value per share is calculated by subtracting our total liabilities from our total tangible assets which is total assets less intangible assets, and dividing this amount by the 10,018,320 issued and outstanding ordinary shares as of December 31, 2017, after giving pro forma effect to the IPO Transactions, as described in “Summary — The Offering.”</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After giving effect to the IPO transactions and the sale by us of the 1,333,334 units in this offering (which does not include the 30-day option to purchase up to an additional 200,000 ordinary shares and/or 200,000 additional warrants to purchase up to a total of 100,000 ordinary shares that we have granted to the underwriters to cover over-allotments, if any, or the proceeds, if any, we may receive from the exercise of the warrants issued pursuant to this offering and/or the warrants issued to the representative in connection with this offering), at an assumed initial public offering price of $9.00 per unit, the midpoint of the estimated offering price range set forth on the cover page of this prospectus, and to the issuance of 10,000 shares to the representative immediately following this offering, our pro forma as adjusted net tangible book value at December 31, 2017, would have been $18.3 million, or $1.61 per share. This represents an immediate increase in pro forma as adjusted net tangible book value to existing shareholders of $0.56 per share and immediate dilution to new investors of $7.39 per share.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The following table illustrates this per share dilution on a per share basis:</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9"/>
        </w:trPr>
        <w:tc>
          <w:tcPr>
            <w:tcW w:w="9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89"/>
        </w:trPr>
        <w:tc>
          <w:tcPr>
            <w:tcW w:w="918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Assumed initial public offering price per ordinary share</w:t>
            </w:r>
          </w:p>
        </w:tc>
        <w:tc>
          <w:tcPr>
            <w:tcW w:w="1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$9.00</w:t>
            </w:r>
          </w:p>
        </w:tc>
        <w:tc>
          <w:tcPr>
            <w:tcW w:w="520" w:type="dxa"/>
            <w:vAlign w:val="bottom"/>
            <w:shd w:val="clear" w:color="auto" w:fill="CCEEFF"/>
          </w:tcPr>
          <w:p>
            <w:pPr>
              <w:spacing w:after="0"/>
              <w:rPr>
                <w:sz w:val="16"/>
                <w:szCs w:val="16"/>
                <w:color w:val="auto"/>
              </w:rPr>
            </w:pPr>
          </w:p>
        </w:tc>
      </w:tr>
      <w:tr>
        <w:trPr>
          <w:trHeight w:val="257"/>
        </w:trPr>
        <w:tc>
          <w:tcPr>
            <w:tcW w:w="9180" w:type="dxa"/>
            <w:vAlign w:val="bottom"/>
          </w:tcPr>
          <w:p>
            <w:pPr>
              <w:ind w:left="560"/>
              <w:spacing w:after="0"/>
              <w:rPr>
                <w:sz w:val="20"/>
                <w:szCs w:val="20"/>
                <w:color w:val="auto"/>
              </w:rPr>
            </w:pPr>
            <w:r>
              <w:rPr>
                <w:rFonts w:ascii="Arial" w:cs="Arial" w:eastAsia="Arial" w:hAnsi="Arial"/>
                <w:sz w:val="18"/>
                <w:szCs w:val="18"/>
                <w:color w:val="auto"/>
              </w:rPr>
              <w:t>Pro forma net tangible book value per ordinary share</w:t>
            </w:r>
          </w:p>
        </w:tc>
        <w:tc>
          <w:tcPr>
            <w:tcW w:w="1300" w:type="dxa"/>
            <w:vAlign w:val="bottom"/>
            <w:gridSpan w:val="2"/>
          </w:tcPr>
          <w:p>
            <w:pPr>
              <w:jc w:val="right"/>
              <w:ind w:right="790"/>
              <w:spacing w:after="0"/>
              <w:rPr>
                <w:sz w:val="20"/>
                <w:szCs w:val="20"/>
                <w:color w:val="auto"/>
              </w:rPr>
            </w:pPr>
            <w:r>
              <w:rPr>
                <w:rFonts w:ascii="Arial" w:cs="Arial" w:eastAsia="Arial" w:hAnsi="Arial"/>
                <w:sz w:val="18"/>
                <w:szCs w:val="18"/>
                <w:color w:val="auto"/>
                <w:w w:val="88"/>
              </w:rPr>
              <w:t>$1.05</w:t>
            </w: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5"/>
        </w:trPr>
        <w:tc>
          <w:tcPr>
            <w:tcW w:w="91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13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88"/>
              </w:rPr>
              <w:t>$0.56</w:t>
            </w:r>
          </w:p>
        </w:tc>
        <w:tc>
          <w:tcPr>
            <w:tcW w:w="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r>
      <w:tr>
        <w:trPr>
          <w:trHeight w:val="250"/>
        </w:trPr>
        <w:tc>
          <w:tcPr>
            <w:tcW w:w="9180" w:type="dxa"/>
            <w:vAlign w:val="bottom"/>
            <w:tcBorders>
              <w:top w:val="single" w:sz="8" w:color="CCEEFF"/>
            </w:tcBorders>
          </w:tcPr>
          <w:p>
            <w:pPr>
              <w:ind w:left="560"/>
              <w:spacing w:after="0"/>
              <w:rPr>
                <w:sz w:val="20"/>
                <w:szCs w:val="20"/>
                <w:color w:val="auto"/>
              </w:rPr>
            </w:pPr>
            <w:r>
              <w:rPr>
                <w:rFonts w:ascii="Arial" w:cs="Arial" w:eastAsia="Arial" w:hAnsi="Arial"/>
                <w:sz w:val="18"/>
                <w:szCs w:val="18"/>
                <w:color w:val="auto"/>
              </w:rPr>
              <w:t>Dilution per ordinary share to new investors in this offering</w:t>
            </w:r>
          </w:p>
        </w:tc>
        <w:tc>
          <w:tcPr>
            <w:tcW w:w="420" w:type="dxa"/>
            <w:vAlign w:val="bottom"/>
            <w:tcBorders>
              <w:top w:val="single" w:sz="8" w:color="auto"/>
            </w:tcBorders>
          </w:tcPr>
          <w:p>
            <w:pPr>
              <w:spacing w:after="0"/>
              <w:rPr>
                <w:sz w:val="21"/>
                <w:szCs w:val="21"/>
                <w:color w:val="auto"/>
              </w:rPr>
            </w:pPr>
          </w:p>
        </w:tc>
        <w:tc>
          <w:tcPr>
            <w:tcW w:w="1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7.39</w:t>
            </w:r>
          </w:p>
        </w:tc>
        <w:tc>
          <w:tcPr>
            <w:tcW w:w="520" w:type="dxa"/>
            <w:vAlign w:val="bottom"/>
            <w:tcBorders>
              <w:top w:val="single" w:sz="8" w:color="CCEEFF"/>
            </w:tcBorders>
          </w:tcPr>
          <w:p>
            <w:pPr>
              <w:spacing w:after="0"/>
              <w:rPr>
                <w:sz w:val="21"/>
                <w:szCs w:val="21"/>
                <w:color w:val="auto"/>
              </w:rPr>
            </w:pPr>
          </w:p>
        </w:tc>
      </w:tr>
      <w:tr>
        <w:trPr>
          <w:trHeight w:val="20"/>
        </w:trPr>
        <w:tc>
          <w:tcPr>
            <w:tcW w:w="9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$1.00 increase (decrease) in the assumed initial public offering price of $9.00 per unit, the midpoint of the estimated offering price range set forth on the cover page of this prospectus, would increase (decrease) the pro forma as adjusted net tangible book value at December 31, 2017 by approximately $1.2 million, or approximately $0.11 per share and the dilution to new investors of $0.89 per share, assuming that the number of shares offered by us remains the same.</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also increase or decrease the number of shares we are offering. An increase of 100,000 units offered by us would result in pro forma as adjusted net tangible book value at December 31, 2017 of approximately $19.0 million, or $1.66 per share, and dilution to new investors of $7.34 per share, assuming the public offering price per share remains the same. Similarly, a decrease of 100,000 units offered by us would result in pro forma as adjusted net tangible book value at December 31, 2017 of approximately $17.7 million, or $1.57 per share, and dilution to new investors of $7.43 per share, assuming the public offering price per unit remains the same. The dilution information discussed above is illustrative only and will change based on the actual public offering price and other terms of this offering determined at pricing.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sets forth, as of December 31, 2017, on a pro forma as adjusted basis, the number of units purchased from us, the total consideration paid, or to be paid, and the average price per share paid, or to be paid, by existing shareholders and by the new investors, at an assumed initial public offering price of $9.00 per unit, the midpoint of the estimated offering price range set forth on the cover page of this prospectus, before deducting estimated underwriting discounts and commissions and offering expenses payable by us: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Total Consideration</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4"/>
          </w:tcPr>
          <w:p>
            <w:pPr>
              <w:ind w:left="340"/>
              <w:spacing w:after="0"/>
              <w:rPr>
                <w:sz w:val="20"/>
                <w:szCs w:val="20"/>
                <w:color w:val="auto"/>
              </w:rPr>
            </w:pPr>
            <w:r>
              <w:rPr>
                <w:rFonts w:ascii="Arial" w:cs="Arial" w:eastAsia="Arial" w:hAnsi="Arial"/>
                <w:sz w:val="14"/>
                <w:szCs w:val="14"/>
                <w:b w:val="1"/>
                <w:bCs w:val="1"/>
                <w:color w:val="auto"/>
                <w:w w:val="91"/>
              </w:rPr>
              <w:t>Shares Purchased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4"/>
          </w:tcPr>
          <w:p>
            <w:pPr>
              <w:jc w:val="center"/>
              <w:ind w:left="298"/>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4"/>
          </w:tcPr>
          <w:p>
            <w:pPr>
              <w:ind w:left="160"/>
              <w:spacing w:after="0"/>
              <w:rPr>
                <w:sz w:val="20"/>
                <w:szCs w:val="20"/>
                <w:color w:val="auto"/>
              </w:rPr>
            </w:pPr>
            <w:r>
              <w:rPr>
                <w:rFonts w:ascii="Arial" w:cs="Arial" w:eastAsia="Arial" w:hAnsi="Arial"/>
                <w:sz w:val="14"/>
                <w:szCs w:val="14"/>
                <w:b w:val="1"/>
                <w:bCs w:val="1"/>
                <w:color w:val="auto"/>
              </w:rPr>
              <w:t>Number</w:t>
            </w: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Percent</w:t>
            </w: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6"/>
        </w:trPr>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10,018,320</w:t>
            </w:r>
          </w:p>
        </w:tc>
        <w:tc>
          <w:tcPr>
            <w:tcW w:w="2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88.2%</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$30,532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15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5660" w:type="dxa"/>
            <w:vAlign w:val="bottom"/>
            <w:gridSpan w:val="2"/>
          </w:tcPr>
          <w:p>
            <w:pPr>
              <w:spacing w:after="0"/>
              <w:rPr>
                <w:sz w:val="20"/>
                <w:szCs w:val="20"/>
                <w:color w:val="auto"/>
              </w:rPr>
            </w:pPr>
            <w:r>
              <w:rPr>
                <w:rFonts w:ascii="Arial" w:cs="Arial" w:eastAsia="Arial" w:hAnsi="Arial"/>
                <w:sz w:val="18"/>
                <w:szCs w:val="18"/>
                <w:color w:val="auto"/>
              </w:rPr>
              <w:t>Representative shares</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New investors</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1,333,334</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15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11,361,654</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42,532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-719455</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-719455</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44164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416425" cy="889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-719455</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foregoing tables assume no exercise of the underwriters’ over-allotment option or of outstanding options or warrants to purchase our shares after December 31, 2017 or the warrants issued to the representative in connection with this offering. At March 31, 2018 and after giving effect to the IPO Transactions and the stock split, 3,573,700 ordinary shares were subject to outstanding options at a weighted average exercise price of $4.53; warrants to purchase 429,331 ordinary shares were outstanding, at an exercise price of $3.69 per share; warrants to purchase 756,340 ordinary shares were outstanding, at an exercise price of $6.99 per share; and warrants to purchase 467,220 ordinary shares were outstanding, at an exercise price of $5.24 per share. See “Summary — The Offering.” To the extent these options and warrants are exercised there will be further dilution to new investors.</w:t>
      </w:r>
    </w:p>
    <w:p>
      <w:pPr>
        <w:spacing w:after="0" w:line="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the underwriters exercise the over-allotment option in full in this offering, our pro forma as adjusted net tangible book value will be $19.6 million, or $1.70 per share (assuming an initial public offering price of $9.00 per unit, the midpoint of the estimated offering price range set forth on the cover page of this prospectus), representing an immediate increase in pro forma as adjusted net tangible book value of approximately $0.09 per share attributable to this offering to our existing shareholders and immediate dilution of $0.09 per share to new investors purchasing units in the offering.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RATES</w:t>
      </w:r>
    </w:p>
    <w:p>
      <w:pPr>
        <w:spacing w:after="0" w:line="10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following table sets forth, for the periods indicated, the high, low, average and period-end exchange rates for the purchase of U.S. dollars expressed in NIS per U.S. dollar. The average rate is calculated by using the average of the Bank of Israel’s reported exchange rates on each day during a monthly period and on the last day of each month during an annual period. On June 11, 2018, the exchange rate as reported by the Bank of Israel was NIS 3.5720 to $1.00.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Average for</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6"/>
        </w:trPr>
        <w:tc>
          <w:tcPr>
            <w:tcW w:w="38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Period-end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920" w:type="dxa"/>
            <w:vAlign w:val="bottom"/>
          </w:tcPr>
          <w:p>
            <w:pPr>
              <w:jc w:val="center"/>
              <w:ind w:left="11"/>
              <w:spacing w:after="0"/>
              <w:rPr>
                <w:sz w:val="20"/>
                <w:szCs w:val="20"/>
                <w:color w:val="auto"/>
              </w:rPr>
            </w:pPr>
            <w:r>
              <w:rPr>
                <w:rFonts w:ascii="Arial" w:cs="Arial" w:eastAsia="Arial" w:hAnsi="Arial"/>
                <w:sz w:val="14"/>
                <w:szCs w:val="14"/>
                <w:b w:val="1"/>
                <w:bCs w:val="1"/>
                <w:color w:val="auto"/>
                <w:w w:val="96"/>
              </w:rPr>
              <w:t>High</w:t>
            </w:r>
          </w:p>
        </w:tc>
      </w:tr>
      <w:tr>
        <w:trPr>
          <w:trHeight w:val="26"/>
        </w:trPr>
        <w:tc>
          <w:tcPr>
            <w:tcW w:w="38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38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60" w:type="dxa"/>
            <w:vAlign w:val="bottom"/>
            <w:gridSpan w:val="2"/>
          </w:tcPr>
          <w:p>
            <w:pPr>
              <w:ind w:left="460"/>
              <w:spacing w:after="0"/>
              <w:rPr>
                <w:sz w:val="20"/>
                <w:szCs w:val="20"/>
                <w:color w:val="auto"/>
              </w:rPr>
            </w:pPr>
            <w:r>
              <w:rPr>
                <w:rFonts w:ascii="Arial" w:cs="Arial" w:eastAsia="Arial" w:hAnsi="Arial"/>
                <w:sz w:val="14"/>
                <w:szCs w:val="14"/>
                <w:color w:val="auto"/>
              </w:rPr>
              <w:t>(NIS per U.S. dollar)</w:t>
            </w:r>
          </w:p>
        </w:tc>
        <w:tc>
          <w:tcPr>
            <w:tcW w:w="920" w:type="dxa"/>
            <w:vAlign w:val="bottom"/>
          </w:tcPr>
          <w:p>
            <w:pPr>
              <w:spacing w:after="0"/>
              <w:rPr>
                <w:sz w:val="17"/>
                <w:szCs w:val="17"/>
                <w:color w:val="auto"/>
              </w:rPr>
            </w:pPr>
          </w:p>
        </w:tc>
      </w:tr>
      <w:tr>
        <w:trPr>
          <w:trHeight w:val="26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3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2012</w:t>
            </w:r>
          </w:p>
        </w:tc>
        <w:tc>
          <w:tcPr>
            <w:tcW w:w="428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3.7330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3.8438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3.7000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4.0840</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28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3.4710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3.6023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3.4710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3.7910</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2014</w:t>
            </w:r>
          </w:p>
        </w:tc>
        <w:tc>
          <w:tcPr>
            <w:tcW w:w="428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3.8890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3.5928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3.4020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3.9940</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28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3.9020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3.8869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3.7610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4.0530</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3.8450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3.8406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3.7460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3.9830</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3.4670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3.5997</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3.4670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3.8600</w:t>
            </w:r>
          </w:p>
        </w:tc>
      </w:tr>
      <w:tr>
        <w:trPr>
          <w:trHeight w:val="365"/>
        </w:trPr>
        <w:tc>
          <w:tcPr>
            <w:tcW w:w="3860" w:type="dxa"/>
            <w:vAlign w:val="bottom"/>
          </w:tcPr>
          <w:p>
            <w:pPr>
              <w:spacing w:after="0"/>
              <w:rPr>
                <w:sz w:val="20"/>
                <w:szCs w:val="20"/>
                <w:color w:val="auto"/>
              </w:rPr>
            </w:pPr>
            <w:r>
              <w:rPr>
                <w:rFonts w:ascii="Arial" w:cs="Arial" w:eastAsia="Arial" w:hAnsi="Arial"/>
                <w:sz w:val="18"/>
                <w:szCs w:val="18"/>
                <w:color w:val="auto"/>
              </w:rPr>
              <w:t>Month Ended:</w:t>
            </w:r>
          </w:p>
        </w:tc>
        <w:tc>
          <w:tcPr>
            <w:tcW w:w="3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January 31, 2018</w:t>
            </w:r>
          </w:p>
        </w:tc>
        <w:tc>
          <w:tcPr>
            <w:tcW w:w="428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3.4050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3.4232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3.3880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3.4600</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February 28, 2018</w:t>
            </w:r>
          </w:p>
        </w:tc>
        <w:tc>
          <w:tcPr>
            <w:tcW w:w="428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3.4850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3.4944</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3.4270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3.5350</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428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3.5140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3.4689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3.4310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3.5140</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April 30, 2018</w:t>
            </w:r>
          </w:p>
        </w:tc>
        <w:tc>
          <w:tcPr>
            <w:tcW w:w="428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3.5880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3.5385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3.5030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3.5970</w:t>
            </w:r>
          </w:p>
        </w:tc>
      </w:tr>
      <w:tr>
        <w:trPr>
          <w:trHeight w:val="25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May 31, 2018</w:t>
            </w:r>
          </w:p>
        </w:tc>
        <w:tc>
          <w:tcPr>
            <w:tcW w:w="428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3.5660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3.5910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3.6540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3.6320</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June (through June 11, 2018)</w:t>
            </w:r>
          </w:p>
        </w:tc>
        <w:tc>
          <w:tcPr>
            <w:tcW w:w="428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3.5720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3.5697</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3.5650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3.5750</w:t>
            </w:r>
          </w:p>
        </w:tc>
      </w:tr>
      <w:tr>
        <w:trPr>
          <w:trHeight w:val="486"/>
        </w:trPr>
        <w:tc>
          <w:tcPr>
            <w:tcW w:w="3860" w:type="dxa"/>
            <w:vAlign w:val="bottom"/>
          </w:tcPr>
          <w:p>
            <w:pPr>
              <w:spacing w:after="0"/>
              <w:rPr>
                <w:sz w:val="24"/>
                <w:szCs w:val="24"/>
                <w:color w:val="auto"/>
              </w:rPr>
            </w:pPr>
          </w:p>
        </w:tc>
        <w:tc>
          <w:tcPr>
            <w:tcW w:w="3140" w:type="dxa"/>
            <w:vAlign w:val="bottom"/>
          </w:tcPr>
          <w:p>
            <w:pPr>
              <w:jc w:val="right"/>
              <w:ind w:right="1110"/>
              <w:spacing w:after="0"/>
              <w:rPr>
                <w:sz w:val="20"/>
                <w:szCs w:val="20"/>
                <w:color w:val="auto"/>
              </w:rPr>
            </w:pPr>
            <w:r>
              <w:rPr>
                <w:rFonts w:ascii="Arial" w:cs="Arial" w:eastAsia="Arial" w:hAnsi="Arial"/>
                <w:sz w:val="18"/>
                <w:szCs w:val="18"/>
                <w:color w:val="auto"/>
              </w:rPr>
              <w:t>62</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5"/>
        </w:trPr>
        <w:tc>
          <w:tcPr>
            <w:tcW w:w="38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-3060700</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-3060700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-3060700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tables set forth our selected financial data. You should read the following selected financial and other data in conjunction with “Summary Financial Data”,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selected statements of comprehensive loss data for each of the years in the two-year period ended December 31, 2017 and the selected statements of financial position data as of December 31, 2017 are derived from our audited financial statements included elsewhere in this prospectus.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0"/>
              </w:rPr>
              <w:t>(In thousands, except shares and</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85"/>
              <w:spacing w:after="0"/>
              <w:rPr>
                <w:sz w:val="20"/>
                <w:szCs w:val="20"/>
                <w:color w:val="auto"/>
              </w:rPr>
            </w:pPr>
            <w:r>
              <w:rPr>
                <w:rFonts w:ascii="Arial" w:cs="Arial" w:eastAsia="Arial" w:hAnsi="Arial"/>
                <w:sz w:val="14"/>
                <w:szCs w:val="14"/>
                <w:b w:val="1"/>
                <w:bCs w:val="1"/>
                <w:color w:val="auto"/>
                <w:w w:val="93"/>
              </w:rPr>
              <w:t>per share data)</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Statements of comprehensive loss: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tcPr>
          <w:p>
            <w:pPr>
              <w:ind w:left="52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2,768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8,575</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40" w:type="dxa"/>
            <w:vAlign w:val="bottom"/>
            <w:tcBorders>
              <w:top w:val="single" w:sz="8" w:color="CCEEFF"/>
              <w:bottom w:val="single" w:sz="8" w:color="CCEEFF"/>
            </w:tcBorders>
            <w:gridSpan w:val="3"/>
          </w:tcPr>
          <w:p>
            <w:pPr>
              <w:ind w:left="700"/>
              <w:spacing w:after="0"/>
              <w:rPr>
                <w:sz w:val="20"/>
                <w:szCs w:val="20"/>
                <w:color w:val="auto"/>
              </w:rPr>
            </w:pPr>
            <w:r>
              <w:rPr>
                <w:rFonts w:ascii="Arial" w:cs="Arial" w:eastAsia="Arial" w:hAnsi="Arial"/>
                <w:sz w:val="18"/>
                <w:szCs w:val="18"/>
                <w:color w:val="auto"/>
              </w:rPr>
              <w:t>Total operating loss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11,343</w:t>
            </w:r>
          </w:p>
        </w:tc>
        <w:tc>
          <w:tcPr>
            <w:tcW w:w="80" w:type="dxa"/>
            <w:vAlign w:val="bottom"/>
            <w:tcBorders>
              <w:top w:val="single" w:sz="8" w:color="CCEEFF"/>
              <w:bottom w:val="single" w:sz="8" w:color="CCEEFF"/>
            </w:tcBorders>
          </w:tcPr>
          <w:p>
            <w:pPr>
              <w:spacing w:after="0"/>
              <w:rPr>
                <w:sz w:val="20"/>
                <w:szCs w:val="20"/>
                <w:color w:val="auto"/>
              </w:rPr>
            </w:pPr>
          </w:p>
        </w:tc>
        <w:tc>
          <w:tcPr>
            <w:tcW w:w="100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42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Financial income:</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40" w:type="dxa"/>
            <w:vAlign w:val="bottom"/>
            <w:gridSpan w:val="3"/>
          </w:tcPr>
          <w:p>
            <w:pPr>
              <w:ind w:left="520"/>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(4,311)</w:t>
            </w:r>
          </w:p>
        </w:tc>
        <w:tc>
          <w:tcPr>
            <w:tcW w:w="0" w:type="dxa"/>
            <w:vAlign w:val="bottom"/>
          </w:tcPr>
          <w:p>
            <w:pPr>
              <w:spacing w:after="0"/>
              <w:rPr>
                <w:sz w:val="1"/>
                <w:szCs w:val="1"/>
                <w:color w:val="auto"/>
              </w:rPr>
            </w:pPr>
          </w:p>
        </w:tc>
      </w:tr>
      <w:tr>
        <w:trPr>
          <w:trHeight w:val="243"/>
        </w:trPr>
        <w:tc>
          <w:tcPr>
            <w:tcW w:w="8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financial expenses, net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gridSpan w:val="3"/>
          </w:tcPr>
          <w:p>
            <w:pPr>
              <w:ind w:left="520"/>
              <w:spacing w:after="0"/>
              <w:rPr>
                <w:sz w:val="20"/>
                <w:szCs w:val="20"/>
                <w:color w:val="auto"/>
              </w:rPr>
            </w:pPr>
            <w:r>
              <w:rPr>
                <w:rFonts w:ascii="Arial" w:cs="Arial" w:eastAsia="Arial" w:hAnsi="Arial"/>
                <w:sz w:val="18"/>
                <w:szCs w:val="18"/>
                <w:color w:val="auto"/>
              </w:rPr>
              <w:t>Financial (income) expenses, net</w:t>
            </w:r>
          </w:p>
        </w:tc>
        <w:tc>
          <w:tcPr>
            <w:tcW w:w="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(4,168)</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Net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11,197</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gridSpan w:val="3"/>
            <w:vMerge w:val="restart"/>
          </w:tcPr>
          <w:p>
            <w:pPr>
              <w:ind w:left="520"/>
              <w:spacing w:after="0"/>
              <w:rPr>
                <w:sz w:val="20"/>
                <w:szCs w:val="20"/>
                <w:color w:val="auto"/>
              </w:rPr>
            </w:pPr>
            <w:r>
              <w:rPr>
                <w:rFonts w:ascii="Arial" w:cs="Arial" w:eastAsia="Arial" w:hAnsi="Arial"/>
                <w:sz w:val="18"/>
                <w:szCs w:val="18"/>
                <w:color w:val="auto"/>
              </w:rPr>
              <w:t>Loss per ordinary share</w:t>
            </w:r>
            <w:r>
              <w:rPr>
                <w:rFonts w:ascii="Arial" w:cs="Arial" w:eastAsia="Arial" w:hAnsi="Arial"/>
                <w:sz w:val="27"/>
                <w:szCs w:val="27"/>
                <w:color w:val="auto"/>
                <w:vertAlign w:val="superscript"/>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7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gridSpan w:val="3"/>
            <w:vMerge w:val="restart"/>
          </w:tcPr>
          <w:p>
            <w:pPr>
              <w:ind w:left="5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3"/>
            <w:vMerge w:val="continue"/>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740" w:type="dxa"/>
            <w:vAlign w:val="bottom"/>
            <w:tcBorders>
              <w:bottom w:val="single" w:sz="8" w:color="CCEEFF"/>
            </w:tcBorders>
            <w:gridSpan w:val="3"/>
            <w:shd w:val="clear" w:color="auto" w:fill="CCEEFF"/>
          </w:tcPr>
          <w:p>
            <w:pPr>
              <w:ind w:left="520"/>
              <w:spacing w:after="0" w:line="197" w:lineRule="exact"/>
              <w:rPr>
                <w:sz w:val="20"/>
                <w:szCs w:val="20"/>
                <w:color w:val="auto"/>
              </w:rPr>
            </w:pPr>
            <w:r>
              <w:rPr>
                <w:rFonts w:ascii="Arial" w:cs="Arial" w:eastAsia="Arial" w:hAnsi="Arial"/>
                <w:sz w:val="15"/>
                <w:szCs w:val="15"/>
                <w:color w:val="auto"/>
              </w:rPr>
              <w:t>Weighted average number of ordinary shares used in computing basic loss per ordinary share</w:t>
            </w:r>
            <w:r>
              <w:rPr>
                <w:rFonts w:ascii="Arial" w:cs="Arial" w:eastAsia="Arial" w:hAnsi="Arial"/>
                <w:sz w:val="22"/>
                <w:szCs w:val="22"/>
                <w:color w:val="auto"/>
                <w:vertAlign w:val="superscript"/>
              </w:rPr>
              <w:t>(1)</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34,544</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3"/>
              </w:rPr>
              <w:t>34,409</w:t>
            </w:r>
          </w:p>
        </w:tc>
        <w:tc>
          <w:tcPr>
            <w:tcW w:w="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3"/>
            <w:vMerge w:val="restart"/>
          </w:tcPr>
          <w:p>
            <w:pPr>
              <w:ind w:left="520"/>
              <w:spacing w:after="0" w:line="263" w:lineRule="exact"/>
              <w:rPr>
                <w:sz w:val="20"/>
                <w:szCs w:val="20"/>
                <w:color w:val="auto"/>
              </w:rPr>
            </w:pPr>
            <w:r>
              <w:rPr>
                <w:rFonts w:ascii="Arial" w:cs="Arial" w:eastAsia="Arial" w:hAnsi="Arial"/>
                <w:sz w:val="18"/>
                <w:szCs w:val="18"/>
                <w:color w:val="auto"/>
              </w:rPr>
              <w:t>Weighted average number of ordinary shares used in computing diluted loss per ordinary share</w:t>
            </w:r>
            <w:r>
              <w:rPr>
                <w:rFonts w:ascii="Arial" w:cs="Arial" w:eastAsia="Arial" w:hAnsi="Arial"/>
                <w:sz w:val="27"/>
                <w:szCs w:val="27"/>
                <w:color w:val="auto"/>
                <w:vertAlign w:val="superscript"/>
              </w:rPr>
              <w:t>(1)</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40" w:type="dxa"/>
            <w:vAlign w:val="bottom"/>
            <w:gridSpan w:val="3"/>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34,544</w:t>
            </w:r>
          </w:p>
        </w:tc>
        <w:tc>
          <w:tcPr>
            <w:tcW w:w="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51,972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5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-1259840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-1929130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-2752090</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360" w:right="600" w:hanging="352"/>
        <w:spacing w:after="0" w:line="264"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Basic and diluted loss per ordinary share in 2017 are the same because the financial instruments as described in the financial statements excluded from the calculation since their effect was anti-dilutive. See Note 13 to our financial statements included elsewhere in this prospectus for further details on the calculation of basic and diluted loss per ordinary share.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540" w:type="dxa"/>
            <w:vAlign w:val="bottom"/>
            <w:gridSpan w:val="6"/>
          </w:tcPr>
          <w:p>
            <w:pPr>
              <w:jc w:val="center"/>
              <w:ind w:right="20"/>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257"/>
        </w:trPr>
        <w:tc>
          <w:tcPr>
            <w:tcW w:w="98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Statements of financial position data:</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gridSpan w:val="2"/>
          </w:tcPr>
          <w:p>
            <w:pPr>
              <w:ind w:left="5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11,746</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gridSpan w:val="2"/>
          </w:tcPr>
          <w:p>
            <w:pPr>
              <w:ind w:left="5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12,417</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8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13,278</w:t>
            </w: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80" w:type="dxa"/>
            <w:vAlign w:val="bottom"/>
            <w:gridSpan w:val="2"/>
          </w:tcPr>
          <w:p>
            <w:pPr>
              <w:ind w:left="520"/>
              <w:spacing w:after="0"/>
              <w:rPr>
                <w:sz w:val="20"/>
                <w:szCs w:val="20"/>
                <w:color w:val="auto"/>
              </w:rPr>
            </w:pPr>
            <w:r>
              <w:rPr>
                <w:rFonts w:ascii="Arial" w:cs="Arial" w:eastAsia="Arial" w:hAnsi="Arial"/>
                <w:sz w:val="18"/>
                <w:szCs w:val="18"/>
                <w:color w:val="auto"/>
              </w:rPr>
              <w:t>Accounts payable-Trade and 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98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gridSpan w:val="2"/>
          </w:tcPr>
          <w:p>
            <w:pPr>
              <w:ind w:left="520"/>
              <w:spacing w:after="0"/>
              <w:rPr>
                <w:sz w:val="20"/>
                <w:szCs w:val="20"/>
                <w:color w:val="auto"/>
              </w:rPr>
            </w:pPr>
            <w:r>
              <w:rPr>
                <w:rFonts w:ascii="Arial" w:cs="Arial" w:eastAsia="Arial" w:hAnsi="Arial"/>
                <w:sz w:val="18"/>
                <w:szCs w:val="18"/>
                <w:color w:val="auto"/>
              </w:rPr>
              <w:t>Long term convertible loans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3,893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Preferred shares</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33,453</w:t>
            </w: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80" w:type="dxa"/>
            <w:vAlign w:val="bottom"/>
            <w:gridSpan w:val="2"/>
          </w:tcPr>
          <w:p>
            <w:pPr>
              <w:ind w:left="520"/>
              <w:spacing w:after="0"/>
              <w:rPr>
                <w:sz w:val="20"/>
                <w:szCs w:val="20"/>
                <w:color w:val="auto"/>
              </w:rPr>
            </w:pPr>
            <w:r>
              <w:rPr>
                <w:rFonts w:ascii="Arial" w:cs="Arial" w:eastAsia="Arial" w:hAnsi="Arial"/>
                <w:sz w:val="18"/>
                <w:szCs w:val="18"/>
                <w:color w:val="auto"/>
              </w:rPr>
              <w:t>Warrants to purchase preferred shares and shares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5,398</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Severance pay obligations, net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9880" w:type="dxa"/>
            <w:vAlign w:val="bottom"/>
            <w:gridSpan w:val="2"/>
          </w:tcPr>
          <w:p>
            <w:pPr>
              <w:ind w:left="520"/>
              <w:spacing w:after="0"/>
              <w:rPr>
                <w:sz w:val="20"/>
                <w:szCs w:val="20"/>
                <w:color w:val="auto"/>
              </w:rPr>
            </w:pPr>
            <w:r>
              <w:rPr>
                <w:rFonts w:ascii="Arial" w:cs="Arial" w:eastAsia="Arial" w:hAnsi="Arial"/>
                <w:sz w:val="18"/>
                <w:szCs w:val="18"/>
                <w:color w:val="auto"/>
              </w:rPr>
              <w:t>Total liabilities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44,836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shd w:val="clear" w:color="auto" w:fill="CCEEFF"/>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Capital deficiency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(31,558)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gridSpan w:val="2"/>
            <w:vMerge w:val="restart"/>
          </w:tcPr>
          <w:p>
            <w:pPr>
              <w:ind w:left="52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7"/>
                <w:szCs w:val="27"/>
                <w:color w:val="auto"/>
                <w:vertAlign w:val="superscript"/>
              </w:rPr>
              <w:t>(1)</w:t>
            </w: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80" w:type="dxa"/>
            <w:vAlign w:val="bottom"/>
            <w:gridSpan w:val="2"/>
            <w:vMerge w:val="continue"/>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10,397</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7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left="5620" w:right="5400" w:hanging="5612"/>
        <w:spacing w:after="0" w:line="712" w:lineRule="auto"/>
        <w:tabs>
          <w:tab w:leader="none" w:pos="3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8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 included elsewhere in this prospectus. We have prepared our financial statements in accordance with IFRS as issued by IASB.</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We are planning to conduct a clinical trial to evaluate the PK/PD profile of various EB612 dose regimens in the second half of 2018. Upon the completion and evaluation of our planned PK/PD clinical trial and subject to receipt of additional funding, we expect in the future to initiate a Phase 2b/3 clinical trial of EB612 in hypoparathyroidism which would potentially support a submission for regulatory approval of EB612. The FDA and the EMA have granted EB612 orphan drug designation for the treatment of hypoparathyroidism. We are also developing an additional oral PTH product candidate, EB613, for the treatment of osteoporosis. Our intent is to seek FDA guidance on our proposed clinical trial design as part of a Pre-IND meeting in the second half of 2018, followed by an additional Phase 2a dose finding clinical trial. In addition, we intend to use our technology as a platform for the oral delivery of other protein and large molecule therapeutics as well as novel therapeutics. We intend to utilize future funds, as available, to prepare EB612 for advanced clinical studies and ultimately for regulatory approval.</w:t>
      </w:r>
    </w:p>
    <w:p>
      <w:pPr>
        <w:spacing w:after="0" w:line="7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date, we have funded our operations through sales of ordinary shares, preferred shares and warrants, and the incurrence of convertible loans and receipt of government grants. We have no products that have received regulatory approval and have never generated revenue. From our inception, we have raised an aggregate of $31.3 million to fund our operations, including $7.2 million from sales of our ordinary shares, Series A preferred shares and warrants, $10.6 million from convertible loans (of which an amount of approximately $1.0 million ($1.1 million including interest) was repaid in February 2017) and $8.5 million ($9.0 million including interest) was converted in October 2017 into Series B-1 preferred shares, $13.0 million from sales of our Series B preferred shares from October to December 2017 and approximately $0.5 million of government grants. We were originally capitalized with $0.6 million of cash from D.N.A Biomedical Solutions Ltd., and a license to certain patent rights relating to the oral administration of proteins from Oramed Ltd., or Oramed, a subsidiary of Oramed Pharmaceuticals, Inc., and accordingly $0.6 million was recorded on our statements of financial position as an intangible asset based on the fair value of the ordinary shares issued in exchange for the license.</w:t>
      </w:r>
    </w:p>
    <w:p>
      <w:pPr>
        <w:spacing w:after="0" w:line="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Since inception, we have incurred significant losses. For the years ended December 31, 2016 and 2017, our operating losses were $5.4 million and $11.3 million, respectively. We expect to continue to incur significant expenses and losses for the next several years. As of December 31, 2017, we had an accumulated deficit of $41.8 million. Our losses may fluctuate significantly from quarter to quarter and year to year, depending on the timing of our clinical trials, our expenditures on any other research and development activities, the receipt of government grants and payments under any future collaborations into which we may enter.</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31, 2018, we had cash and cash equivalents of $9.2 million. In order to fund further operations, we will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Our audited financial statements for the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year ended December 31, 2017, included elsewhere in this prospectus, note that there is substantial doubt about our ability to continue as a going concern absent sources of additional liquidity. The financial statements included herein have been prepared assuming that we will continue as a going concern and do not include adjustments that might result from the outcome of this uncertainty. If we are unable to raise the requisite funds, we will need to curtail or cease operations. See “Risk Factors — Risks Related to Our Financial Position and Need for Additional Capital.”</w:t>
      </w:r>
    </w:p>
    <w:p>
      <w:pPr>
        <w:spacing w:after="0" w:line="6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As of March 31, 2018, we had 19 employees, one consultant who provides consulting services to us on a full-time basis and two consultants who provide services to us on a part-time basis. In addition, we have entered into service agreements with three of our directors. Our operations are located in a single facility in Jerusalem, Israel as well as in a facility belonging to our fully-owned subsidiary in New Jersey.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Transfer Agreement and Grant Funding</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Oramed Patent Transfer Agreement</w:t>
      </w:r>
    </w:p>
    <w:p>
      <w:pPr>
        <w:spacing w:after="0" w:line="7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2011, we entered into a patent transfer agreement with Oramed, or the Patent Transfer Agreement, pursuant to which Oramed assigned to us all of its rights, title and interest in the patent rights Oramed licensed to us when we were originally capitalized,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Under the terms of the Patent Transfer Agreement,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See “Business — Oramed Patent Transfer Agreement.”</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Israeli Innovation Authority Grant (formerly: the Office of the Chief Scientist)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received grants of approximately $0.5 million from the IIA to partially fund our research and development. The grants are subject to certain requirements and restrictions under the Israeli Encouragement of Research, Development and Technological Innovation in Industry Law 5477-1984,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amount that must be repaid may be increased to three times the amount of the grant received, and the rate of royalties may be accelerated, if manufacturing of the products developed with the grant money is transferred outside of the State of Israel. Moreover, a payment of up to 600% of the grant received may be required upon the transfer of any IIA-funded know-how to a non-Israeli entity. In addition, as disclosed under “Business — Manufacturing,” we have signed a contract with a UK-based contract manufacturing organization, to produce and supply pills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paying any royalties due, we must abide by other restrictions associated with receiving such grants under the Research Law that continue to apply following repayment to the IIA. See “Business — The Israeli Innovation Authority Grant.”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date, we have not generated any revenue. We do not expect to receive any revenue from any product candidates that we develop unless and until we obtain regulatory approval and successfully commercialize our products or enter into collaborative agreements with third parties.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Research and development expenses consist of costs incurred for the development of our drug delivery technology and our product candidates. Those expenses include:</w:t>
      </w:r>
    </w:p>
    <w:p>
      <w:pPr>
        <w:spacing w:after="0" w:line="89" w:lineRule="exact"/>
        <w:rPr>
          <w:sz w:val="20"/>
          <w:szCs w:val="20"/>
          <w:color w:val="auto"/>
        </w:rPr>
      </w:pPr>
    </w:p>
    <w:p>
      <w:pPr>
        <w:ind w:left="720" w:right="880" w:hanging="352"/>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and share-based compensation expenses for employees and service providers in research and development functions;</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in operating our laboratories and small-scale manufacturing facility;</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and investigative sites that conduct our clinical trials;</w:t>
      </w:r>
    </w:p>
    <w:p>
      <w:pPr>
        <w:spacing w:after="0" w:line="155" w:lineRule="exact"/>
        <w:rPr>
          <w:rFonts w:ascii="Arial" w:cs="Arial" w:eastAsia="Arial" w:hAnsi="Arial"/>
          <w:sz w:val="17"/>
          <w:szCs w:val="17"/>
          <w:color w:val="auto"/>
        </w:rPr>
      </w:pPr>
    </w:p>
    <w:p>
      <w:pPr>
        <w:ind w:left="720" w:hanging="35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relating to outsourced and contracted services, such as external laboratories, consulting and advisory services;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supply, development and manufacturing costs relating to clinical trial materials; and</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costs associated with pre-clinical and clinical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activities are the primary focus of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significantly increase in absolute dollars in future periods as we continue to invest in research and development activities related to the development of our product candidates.</w:t>
      </w:r>
    </w:p>
    <w:p>
      <w:pPr>
        <w:spacing w:after="0" w:line="79"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Research expenses are recognized as incurred. An intangible asset arising from the development of our product candidates is recognized if certain capitalization conditions are met. During the years ended December 31, 2016 and 2017, we did not capitalize any development costs.</w:t>
      </w:r>
    </w:p>
    <w:p>
      <w:pPr>
        <w:spacing w:after="0" w:line="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research and development expenses may vary substantially from period to period based on the timing of our research and development activities, including due to timing of initiation of clinical trials and enrollment of patients in clinical trials. For the years ended December 31, 2016 and December 31, 2017, our research and development expenses were $2.6 million and $2.8 million, respectively. Research and development expenses for the years ended December 31, 2016 and 2017 were primarily for the development of EB612. Research and development expenses are expected to increase as we advance the clinical development of EB612 and EB613 and our preclinical work on additional product candidates.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 the uncertainty of:</w:t>
      </w:r>
    </w:p>
    <w:p>
      <w:pPr>
        <w:spacing w:after="0" w:line="98" w:lineRule="exact"/>
        <w:rPr>
          <w:sz w:val="20"/>
          <w:szCs w:val="20"/>
          <w:color w:val="auto"/>
        </w:rPr>
      </w:pPr>
    </w:p>
    <w:p>
      <w:pPr>
        <w:ind w:left="720" w:hanging="35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nonclinical testing and other related activities;</w:t>
      </w:r>
    </w:p>
    <w:p>
      <w:pPr>
        <w:spacing w:after="0" w:line="130" w:lineRule="exact"/>
        <w:rPr>
          <w:rFonts w:ascii="Arial" w:cs="Arial" w:eastAsia="Arial" w:hAnsi="Arial"/>
          <w:sz w:val="18"/>
          <w:szCs w:val="18"/>
          <w:color w:val="auto"/>
        </w:rPr>
      </w:pPr>
    </w:p>
    <w:p>
      <w:pPr>
        <w:ind w:left="720" w:right="760" w:hanging="352"/>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30" w:lineRule="exact"/>
        <w:rPr>
          <w:rFonts w:ascii="Arial" w:cs="Arial" w:eastAsia="Arial" w:hAnsi="Arial"/>
          <w:sz w:val="18"/>
          <w:szCs w:val="18"/>
          <w:color w:val="auto"/>
        </w:rPr>
      </w:pPr>
    </w:p>
    <w:p>
      <w:pPr>
        <w:ind w:left="720" w:right="900" w:hanging="352"/>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milestone and royalty payments thereunder.</w:t>
      </w:r>
    </w:p>
    <w:p>
      <w:pPr>
        <w:spacing w:after="0" w:line="6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 change in the outcome of any of these variables with respect to the development of EB612, EB613 or any other product candidate that we may develop could mean a significant change in the costs and timing associated with the development of such product candidate. For example, if the FDA or other regulatory authority were to require us to conduct preclinical and/or clinical studies beyond those which we currently</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anticipate will be required for the completion of clinical development, if we experience significant delays in enrollment in any clinical trials or if we encounter difficulties in manufacturing our clinical supplies, we could be required to expend significant additional financial resources and time on the completion of the clinical development.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General and administrative expenses consist principally of salaries and related costs for directors and personnel in executive and finance functions, such as salaries, benefits and share-based compensation. Other general and administrative expenses include facility costs, communication expenses and professional fees for legal services, patent counseling and portfolio maintenance, consulting, auditing and accounting services and certain expenses with respect to this offering.</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following the completion of this offering due to many factors, the most significant of which include increased expenses associated with maintaining compliance with listing rules and SEC requirements as a result of becoming a publicly traded company, such as increased legal and accounting services, transfer agent and printing fees, addition of new headcount to support compliance and communication needs and increased insurance premiums.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Financial Income</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Financial income is comprised mainly of gains resulting from the re-measurement of our convertible loan, Series A preferred shares, warrants to purchase Series A preferred shares and ordinary shares, Series B preferred shares issued from October to December 2017 and Series B-1 preferred shares issued as a result of the conversion of the Convertible Loans. We will continue to record adjustments to the estimated fair value of the convertible loans, preferred shares, warrants to issue preferred shares and ordinary shares until each are converted into our ordinary shares, after which we will no longer record any related periodic fair value adjustments.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consummation of this offering, we will adjust our convertible loan liability and our liability to issue preferred shares and warrants to their fair value, evaluated based on the estimated public offering price. We expect to record additional financial expenses or income from the revaluation of our convertible loan liability, preferred shares and warrants. Under the terms of the applicable agreements and pursuant to the IPO Transactions, the convertible loans and preferred shares will be automatically converted into our ordinary shares, and the warrants to purchase preferred shares will be automatically converted into warrants to purchase ordinary shares, upon the closing of this offering. From October to December 2017, we raised a total of $13.0 million from sales of our Series B preferred shares ($12.1, net of issuance costs). In connection with the Series B Private Placement, the 2016 Convertible Loans were converted to our Series B-1 preferred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expenses are comprised mainly of exchange rate differences of certain currencies against our functional currency.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not generated taxable income since our inception and as of December 31, 2017 had carry-forward tax losses of $15.3 million. We anticipate that we will be able to carry forward these tax losses indefinitely to future tax years. Accordingly, we do not expect to pay taxes in Israel until we have taxable income after the full utilization of our carryforward tax losses.</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recognize deferred tax assets on losses for tax purposes carried forward to subsequent years if utilization of the related tax benefit against a future taxable income is probable. We have not created deferred tax assets on our tax loss carryforwards because their utilization is not expected in the foreseeable future.</w:t>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describe our significant accounting policies more fully in Note 2 to our audited financial statements included elsewhere in this prospectus. We believe that the accounting policies below are critical in order to fully understand and evaluate our financial condition and results of operations. The preparation of our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Estimates and judgments are continually evaluated and are based on historical experience and other factors, including expectations of future events that are believed to be reasonable under the circumstances.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Share-Based Compensation</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adopted a share-based compensation plan for employees, directors and service providers. As part of the plan, we grant employees, directors and service providers, from time to time and at our discretion, options to purchase our ordinary shares. The fair value of the services received in exchange for the grant of the options is recognized as an expense in our statements of comprehensive loss with a corresponding adjustment to equity in our statements of financial position. The total amount is recognized as an expense ratably over the vesting period of the options, which is the period during which all vesting conditions are expected to be met.</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estimate the fair value of our share-based compensation to employees, directors and service providers using the Black-Scholes option pricing model, which requires the input of highly subjective assumptions, including (a) the expected volatility of our shares, (b) the expected term of the award, (c) the risk-free interest rate, (d) expected dividends and (e) the fair value of our ordinary shares at the date of grant. Due to the lack of a public market for the trading of our shares and a lack of company-specific historical and implied volatility data, we have based our estimate of expected volatility on the historic volatility of comparable companies that are publicly traded. We will continue to apply this process until a sufficient amount of historical information regarding the volatility of our own share price becomes available.</w:t>
      </w:r>
    </w:p>
    <w:p>
      <w:pPr>
        <w:spacing w:after="0" w:line="8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options granted in 2016 and 2017, the fair value per ordinary share used in the Black-Scholes option pricing model was evaluated using a hybrid model that uses an option pricing model within each applicable exit scenario of our company. These valuations are highly subjective.</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the purpose of determining our enterprise value, we used the discounted cash flow, or DCF, method. Under the DCF method, our projected after-tax cash flows were discounted back to present value, using the discount rate. The discount rate, known as the weighted average cost of capital, or WACC, accounts for the time value of money and the appropriate degree of risk inherent in our business. The DCF method requires significant assumptions, in particular, regarding our projected cash flows and the discount rate applicable to our business. For the purpose of that valuation, we applied the applicable discount rate, projected commencement of sales and the probability of reaching sales. Following the Series B Private Placement, the fair value of our ordinary shares was based on the market approach and used a price per share of $908.78 per Series B preferred share from the Company’s preferred share issuance starting in October 2017 as a basis for fair market value.</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Following this offering, the fair value of our ordinary shares and warrants will be determined based on the closing price of our ordinary shares and warrants on the NASDAQ Capital Market.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required to estimate forfeitures at the time of grant, and we revise those estimates in subsequent periods if actual forfeitures differ from the estimates. Vesting conditions are included in assumptions about the number of options that are expected to vest. At the end of each reporting period, we revise our estimates of the number of options that are expected to vest based on the nonmarket vesting conditions. We recognize the impact of the revision to original estimates, if any, in profit or loss, with a corresponding adjustment to equity.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our share-based compensation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6"/>
        </w:trPr>
        <w:tc>
          <w:tcPr>
            <w:tcW w:w="8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6"/>
        </w:trPr>
        <w:tc>
          <w:tcPr>
            <w:tcW w:w="8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8"/>
        </w:trPr>
        <w:tc>
          <w:tcPr>
            <w:tcW w:w="8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2017</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Pr>
          <w:p>
            <w:pPr>
              <w:spacing w:after="0"/>
              <w:rPr>
                <w:sz w:val="17"/>
                <w:szCs w:val="17"/>
                <w:color w:val="auto"/>
              </w:rPr>
            </w:pPr>
          </w:p>
        </w:tc>
      </w:tr>
      <w:tr>
        <w:trPr>
          <w:trHeight w:val="26"/>
        </w:trPr>
        <w:tc>
          <w:tcPr>
            <w:tcW w:w="8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3"/>
        </w:trPr>
        <w:tc>
          <w:tcPr>
            <w:tcW w:w="8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57"/>
        </w:trPr>
        <w:tc>
          <w:tcPr>
            <w:tcW w:w="9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r>
      <w:tr>
        <w:trPr>
          <w:trHeight w:val="263"/>
        </w:trPr>
        <w:tc>
          <w:tcPr>
            <w:tcW w:w="9120" w:type="dxa"/>
            <w:vAlign w:val="bottom"/>
            <w:gridSpan w:val="2"/>
          </w:tcPr>
          <w:p>
            <w:pPr>
              <w:ind w:left="5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4,562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1,360</w:t>
            </w:r>
          </w:p>
        </w:tc>
      </w:tr>
      <w:tr>
        <w:trPr>
          <w:trHeight w:val="20"/>
        </w:trPr>
        <w:tc>
          <w:tcPr>
            <w:tcW w:w="8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257"/>
        </w:trPr>
        <w:tc>
          <w:tcPr>
            <w:tcW w:w="9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4,885</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1,490</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-659765</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Fair Value of Financial Liabilities Through Profit or Loss</w:t>
      </w:r>
    </w:p>
    <w:p>
      <w:pPr>
        <w:spacing w:after="0" w:line="10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Series A preferred shares and warrants to purchase Series A preferred shares, Series B preferred shares and Series B-1 preferred shares are classified as financial liabilities because of the liquidation rights and conversion rights associated with the preferred shares and therefore are accounted for at fair value through profit or loss at each balance sheet date. To determine the fair value of the convertible loans, preferred shares, and warrants, we use our judgment to select a variety of methods and make assumptions that are mainly based on market conditions existing at the end of each reporting period. The estimated fair value of these liabilities might have been different if we had used different estimates and assumptions.</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determine the fair value of the convertible loans, which is a valuation that is not based on observable market data, or a level 3 valuation, the debt component was evaluated based on the discounting of future payments of the debt. The convertible components of the loans (the option to convert the principal amount of the loans and accrued interest into our ordinary shares, subject to adjustment), were evaluated based on a combination of the probability weighted expected return method and the back solve option pricing method model.</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 determine the fair value of the preferred shares, warrants to purchase Series A preferred shares and warrants to purchase Series B preferred shares and Series B-1 preferred shares, we prepared a valuation of the fair value of each of these components. The components were evaluated using a combination of the probability weighted expected return method and the back solve option pricing method model.</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December 31, 2017, the valuation of the Company’s financial liabilities was based on the market approach and used a price per share of $908.78 per Series B preferred share from the Company’s preferred share issuance starting in October 2017 as a basis for fair market value. The value of equity as of December 31, 2016 was based on the valuation of cash generating unit based on DCF.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parameters were used: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140" w:type="dxa"/>
            <w:vAlign w:val="bottom"/>
            <w:gridSpan w:val="2"/>
          </w:tcPr>
          <w:p>
            <w:pPr>
              <w:ind w:left="128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tcPr>
          <w:p>
            <w:pPr>
              <w:spacing w:after="0"/>
              <w:rPr>
                <w:sz w:val="16"/>
                <w:szCs w:val="16"/>
                <w:color w:val="auto"/>
              </w:rPr>
            </w:pPr>
          </w:p>
        </w:tc>
      </w:tr>
      <w:tr>
        <w:trPr>
          <w:trHeight w:val="26"/>
        </w:trPr>
        <w:tc>
          <w:tcPr>
            <w:tcW w:w="2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27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920" w:type="dxa"/>
            <w:vAlign w:val="bottom"/>
          </w:tcPr>
          <w:p>
            <w:pPr>
              <w:jc w:val="right"/>
              <w:ind w:right="7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6"/>
        </w:trPr>
        <w:tc>
          <w:tcPr>
            <w:tcW w:w="270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Preferred B price per share*</w:t>
            </w:r>
          </w:p>
        </w:tc>
        <w:tc>
          <w:tcPr>
            <w:tcW w:w="19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$908.78</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8040" w:type="dxa"/>
            <w:vAlign w:val="bottom"/>
            <w:gridSpan w:val="2"/>
          </w:tcPr>
          <w:p>
            <w:pPr>
              <w:ind w:left="500"/>
              <w:spacing w:after="0"/>
              <w:rPr>
                <w:sz w:val="20"/>
                <w:szCs w:val="20"/>
                <w:color w:val="auto"/>
              </w:rPr>
            </w:pPr>
            <w:r>
              <w:rPr>
                <w:rFonts w:ascii="Arial" w:cs="Arial" w:eastAsia="Arial" w:hAnsi="Arial"/>
                <w:sz w:val="18"/>
                <w:szCs w:val="18"/>
                <w:color w:val="auto"/>
              </w:rPr>
              <w:t>Value of equity*</w:t>
            </w:r>
          </w:p>
        </w:tc>
        <w:tc>
          <w:tcPr>
            <w:tcW w:w="2140" w:type="dxa"/>
            <w:vAlign w:val="bottom"/>
            <w:gridSpan w:val="2"/>
          </w:tcPr>
          <w:p>
            <w:pPr>
              <w:ind w:left="1080"/>
              <w:spacing w:after="0"/>
              <w:rPr>
                <w:sz w:val="20"/>
                <w:szCs w:val="20"/>
                <w:color w:val="auto"/>
              </w:rPr>
            </w:pPr>
            <w:r>
              <w:rPr>
                <w:rFonts w:ascii="Arial" w:cs="Arial" w:eastAsia="Arial" w:hAnsi="Arial"/>
                <w:sz w:val="18"/>
                <w:szCs w:val="18"/>
                <w:color w:val="auto"/>
              </w:rPr>
              <w:t>$78 million</w:t>
            </w:r>
          </w:p>
        </w:tc>
        <w:tc>
          <w:tcPr>
            <w:tcW w:w="1240" w:type="dxa"/>
            <w:vAlign w:val="bottom"/>
          </w:tcPr>
          <w:p>
            <w:pPr>
              <w:jc w:val="right"/>
              <w:spacing w:after="0"/>
              <w:rPr>
                <w:sz w:val="20"/>
                <w:szCs w:val="20"/>
                <w:color w:val="auto"/>
              </w:rPr>
            </w:pPr>
            <w:r>
              <w:rPr>
                <w:rFonts w:ascii="Arial" w:cs="Arial" w:eastAsia="Arial" w:hAnsi="Arial"/>
                <w:sz w:val="18"/>
                <w:szCs w:val="18"/>
                <w:color w:val="auto"/>
              </w:rPr>
              <w:t>$71 million</w:t>
            </w:r>
          </w:p>
        </w:tc>
      </w:tr>
      <w:tr>
        <w:trPr>
          <w:trHeight w:val="257"/>
        </w:trPr>
        <w:tc>
          <w:tcPr>
            <w:tcW w:w="8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Volatility</w:t>
            </w:r>
          </w:p>
        </w:tc>
        <w:tc>
          <w:tcPr>
            <w:tcW w:w="19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77%</w:t>
            </w:r>
          </w:p>
        </w:tc>
      </w:tr>
      <w:tr>
        <w:trPr>
          <w:trHeight w:val="257"/>
        </w:trPr>
        <w:tc>
          <w:tcPr>
            <w:tcW w:w="8040" w:type="dxa"/>
            <w:vAlign w:val="bottom"/>
            <w:gridSpan w:val="2"/>
          </w:tcPr>
          <w:p>
            <w:pPr>
              <w:ind w:left="500"/>
              <w:spacing w:after="0"/>
              <w:rPr>
                <w:sz w:val="20"/>
                <w:szCs w:val="20"/>
                <w:color w:val="auto"/>
              </w:rPr>
            </w:pPr>
            <w:r>
              <w:rPr>
                <w:rFonts w:ascii="Arial" w:cs="Arial" w:eastAsia="Arial" w:hAnsi="Arial"/>
                <w:sz w:val="18"/>
                <w:szCs w:val="18"/>
                <w:color w:val="auto"/>
              </w:rPr>
              <w:t>Probability of entering Phase 2b/3 trial for EB612</w:t>
            </w:r>
          </w:p>
        </w:tc>
        <w:tc>
          <w:tcPr>
            <w:tcW w:w="1920" w:type="dxa"/>
            <w:vAlign w:val="bottom"/>
          </w:tcPr>
          <w:p>
            <w:pPr>
              <w:jc w:val="right"/>
              <w:ind w:right="435"/>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70%</w:t>
            </w:r>
          </w:p>
        </w:tc>
      </w:tr>
      <w:tr>
        <w:trPr>
          <w:trHeight w:val="257"/>
        </w:trPr>
        <w:tc>
          <w:tcPr>
            <w:tcW w:w="8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Probability for IPO/shares registration</w:t>
            </w:r>
          </w:p>
        </w:tc>
        <w:tc>
          <w:tcPr>
            <w:tcW w:w="19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50%</w:t>
            </w:r>
          </w:p>
        </w:tc>
      </w:tr>
      <w:tr>
        <w:trPr>
          <w:trHeight w:val="270"/>
        </w:trPr>
        <w:tc>
          <w:tcPr>
            <w:tcW w:w="2700" w:type="dxa"/>
            <w:vAlign w:val="bottom"/>
            <w:tcBorders>
              <w:bottom w:val="single" w:sz="8" w:color="auto"/>
            </w:tcBorders>
          </w:tcPr>
          <w:p>
            <w:pPr>
              <w:spacing w:after="0"/>
              <w:rPr>
                <w:sz w:val="23"/>
                <w:szCs w:val="23"/>
                <w:color w:val="auto"/>
              </w:rPr>
            </w:pPr>
          </w:p>
        </w:tc>
        <w:tc>
          <w:tcPr>
            <w:tcW w:w="5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-1002665</wp:posOffset>
            </wp:positionV>
            <wp:extent cx="64573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182" w:lineRule="exact"/>
        <w:rPr>
          <w:sz w:val="20"/>
          <w:szCs w:val="20"/>
          <w:color w:val="auto"/>
        </w:rPr>
      </w:pPr>
    </w:p>
    <w:p>
      <w:pPr>
        <w:ind w:left="360" w:right="540" w:hanging="352"/>
        <w:spacing w:after="0" w:line="264" w:lineRule="auto"/>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equity as of December 31, 2017 was based on the market approach as described above. The value of equity as of December 31, 2016 was based on the valuation of cash generating unit based on DCF. The value of equity includes ordinary shares, preferred shares, warrants and options to preferred shares and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primary assumptions used in the DCF valuations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8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9780" w:type="dxa"/>
            <w:vAlign w:val="bottom"/>
          </w:tcPr>
          <w:p>
            <w:pPr>
              <w:spacing w:after="0"/>
              <w:rPr>
                <w:sz w:val="16"/>
                <w:szCs w:val="16"/>
                <w:color w:val="auto"/>
              </w:rPr>
            </w:pPr>
          </w:p>
        </w:tc>
        <w:tc>
          <w:tcPr>
            <w:tcW w:w="1620" w:type="dxa"/>
            <w:vAlign w:val="bottom"/>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r>
      <w:tr>
        <w:trPr>
          <w:trHeight w:val="26"/>
        </w:trPr>
        <w:tc>
          <w:tcPr>
            <w:tcW w:w="97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9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WACC</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1"/>
                <w:szCs w:val="21"/>
                <w:color w:val="auto"/>
              </w:rPr>
            </w:pPr>
          </w:p>
        </w:tc>
      </w:tr>
      <w:tr>
        <w:trPr>
          <w:trHeight w:val="257"/>
        </w:trPr>
        <w:tc>
          <w:tcPr>
            <w:tcW w:w="9780" w:type="dxa"/>
            <w:vAlign w:val="bottom"/>
          </w:tcPr>
          <w:p>
            <w:pPr>
              <w:ind w:left="540"/>
              <w:spacing w:after="0"/>
              <w:rPr>
                <w:sz w:val="20"/>
                <w:szCs w:val="20"/>
                <w:color w:val="auto"/>
              </w:rPr>
            </w:pPr>
            <w:r>
              <w:rPr>
                <w:rFonts w:ascii="Arial" w:cs="Arial" w:eastAsia="Arial" w:hAnsi="Arial"/>
                <w:sz w:val="18"/>
                <w:szCs w:val="18"/>
                <w:color w:val="auto"/>
              </w:rPr>
              <w:t>Commencement of sales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2021 – 2025</w:t>
            </w:r>
          </w:p>
        </w:tc>
      </w:tr>
      <w:tr>
        <w:trPr>
          <w:trHeight w:val="257"/>
        </w:trPr>
        <w:tc>
          <w:tcPr>
            <w:tcW w:w="9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Probability of reaching sales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 – 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weighted average cost of capital in the DCF model used to evaluate the equity as of December 31, 2016, or the discount rate, was calculated by using the Capital Asset Pricing Model to determine the required return on equity and is based on certain assumptions used to determine the appropriate cost of debt and capital structure,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40" w:type="dxa"/>
            <w:vAlign w:val="bottom"/>
          </w:tcPr>
          <w:p>
            <w:pPr>
              <w:spacing w:after="0"/>
              <w:rPr>
                <w:sz w:val="14"/>
                <w:szCs w:val="14"/>
                <w:color w:val="auto"/>
              </w:rPr>
            </w:pPr>
          </w:p>
        </w:tc>
        <w:tc>
          <w:tcPr>
            <w:tcW w:w="118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10240" w:type="dxa"/>
            <w:vAlign w:val="bottom"/>
          </w:tcPr>
          <w:p>
            <w:pPr>
              <w:spacing w:after="0"/>
              <w:rPr>
                <w:sz w:val="16"/>
                <w:szCs w:val="16"/>
                <w:color w:val="auto"/>
              </w:rPr>
            </w:pPr>
          </w:p>
        </w:tc>
        <w:tc>
          <w:tcPr>
            <w:tcW w:w="1180" w:type="dxa"/>
            <w:vAlign w:val="bottom"/>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26"/>
        </w:trPr>
        <w:tc>
          <w:tcPr>
            <w:tcW w:w="10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10240" w:type="dxa"/>
            <w:vAlign w:val="bottom"/>
            <w:shd w:val="clear" w:color="auto" w:fill="CCEEFF"/>
          </w:tcPr>
          <w:p>
            <w:pPr>
              <w:ind w:left="540"/>
              <w:spacing w:after="0" w:line="263" w:lineRule="exact"/>
              <w:rPr>
                <w:sz w:val="20"/>
                <w:szCs w:val="20"/>
                <w:color w:val="auto"/>
              </w:rPr>
            </w:pPr>
            <w:r>
              <w:rPr>
                <w:rFonts w:ascii="Arial" w:cs="Arial" w:eastAsia="Arial" w:hAnsi="Arial"/>
                <w:sz w:val="18"/>
                <w:szCs w:val="18"/>
                <w:color w:val="auto"/>
              </w:rPr>
              <w:t>Risk free</w:t>
            </w:r>
            <w:r>
              <w:rPr>
                <w:rFonts w:ascii="Arial" w:cs="Arial" w:eastAsia="Arial" w:hAnsi="Arial"/>
                <w:sz w:val="27"/>
                <w:szCs w:val="27"/>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70"/>
        </w:trPr>
        <w:tc>
          <w:tcPr>
            <w:tcW w:w="10240" w:type="dxa"/>
            <w:vAlign w:val="bottom"/>
          </w:tcPr>
          <w:p>
            <w:pPr>
              <w:ind w:left="540"/>
              <w:spacing w:after="0" w:line="270" w:lineRule="exact"/>
              <w:rPr>
                <w:sz w:val="20"/>
                <w:szCs w:val="20"/>
                <w:color w:val="auto"/>
              </w:rPr>
            </w:pPr>
            <w:r>
              <w:rPr>
                <w:rFonts w:ascii="Arial" w:cs="Arial" w:eastAsia="Arial" w:hAnsi="Arial"/>
                <w:sz w:val="18"/>
                <w:szCs w:val="18"/>
                <w:color w:val="auto"/>
              </w:rPr>
              <w:t>Market premium</w:t>
            </w:r>
            <w:r>
              <w:rPr>
                <w:rFonts w:ascii="Arial" w:cs="Arial" w:eastAsia="Arial" w:hAnsi="Arial"/>
                <w:sz w:val="27"/>
                <w:szCs w:val="27"/>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0"/>
        </w:trPr>
        <w:tc>
          <w:tcPr>
            <w:tcW w:w="10240" w:type="dxa"/>
            <w:vAlign w:val="bottom"/>
            <w:shd w:val="clear" w:color="auto" w:fill="CCEEFF"/>
          </w:tcPr>
          <w:p>
            <w:pPr>
              <w:ind w:left="540"/>
              <w:spacing w:after="0" w:line="270" w:lineRule="exact"/>
              <w:rPr>
                <w:sz w:val="20"/>
                <w:szCs w:val="20"/>
                <w:color w:val="auto"/>
              </w:rPr>
            </w:pPr>
            <w:r>
              <w:rPr>
                <w:rFonts w:ascii="Arial" w:cs="Arial" w:eastAsia="Arial" w:hAnsi="Arial"/>
                <w:sz w:val="18"/>
                <w:szCs w:val="18"/>
                <w:color w:val="auto"/>
              </w:rPr>
              <w:t>Specific risk</w:t>
            </w:r>
            <w:r>
              <w:rPr>
                <w:rFonts w:ascii="Arial" w:cs="Arial" w:eastAsia="Arial" w:hAnsi="Arial"/>
                <w:sz w:val="27"/>
                <w:szCs w:val="27"/>
                <w:color w:val="auto"/>
                <w:vertAlign w:val="superscript"/>
              </w:rPr>
              <w:t>(3)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70"/>
        </w:trPr>
        <w:tc>
          <w:tcPr>
            <w:tcW w:w="10240" w:type="dxa"/>
            <w:vAlign w:val="bottom"/>
          </w:tcPr>
          <w:p>
            <w:pPr>
              <w:ind w:left="540"/>
              <w:spacing w:after="0" w:line="270" w:lineRule="exact"/>
              <w:rPr>
                <w:sz w:val="20"/>
                <w:szCs w:val="20"/>
                <w:color w:val="auto"/>
              </w:rPr>
            </w:pPr>
            <w:r>
              <w:rPr>
                <w:rFonts w:ascii="Arial" w:cs="Arial" w:eastAsia="Arial" w:hAnsi="Arial"/>
                <w:sz w:val="18"/>
                <w:szCs w:val="18"/>
                <w:color w:val="auto"/>
              </w:rPr>
              <w:t>Beta</w:t>
            </w:r>
            <w:r>
              <w:rPr>
                <w:rFonts w:ascii="Arial" w:cs="Arial" w:eastAsia="Arial" w:hAnsi="Arial"/>
                <w:sz w:val="27"/>
                <w:szCs w:val="27"/>
                <w:color w:val="auto"/>
                <w:vertAlign w:val="superscript"/>
              </w:rPr>
              <w:t>(4)</w:t>
            </w:r>
          </w:p>
        </w:tc>
        <w:tc>
          <w:tcPr>
            <w:tcW w:w="118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57"/>
        </w:trPr>
        <w:tc>
          <w:tcPr>
            <w:tcW w:w="10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WACC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64916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7151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71"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Treasury Real Long-Term Rate.</w:t>
      </w:r>
    </w:p>
    <w:p>
      <w:pPr>
        <w:spacing w:after="0" w:line="130" w:lineRule="exact"/>
        <w:rPr>
          <w:rFonts w:ascii="Arial" w:cs="Arial" w:eastAsia="Arial" w:hAnsi="Arial"/>
          <w:sz w:val="18"/>
          <w:szCs w:val="18"/>
          <w:color w:val="auto"/>
        </w:rPr>
      </w:pPr>
    </w:p>
    <w:p>
      <w:pPr>
        <w:ind w:left="360" w:hanging="35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publicly available estimates.</w:t>
      </w:r>
    </w:p>
    <w:p>
      <w:pPr>
        <w:spacing w:after="0" w:line="117" w:lineRule="exact"/>
        <w:rPr>
          <w:rFonts w:ascii="Arial" w:cs="Arial" w:eastAsia="Arial" w:hAnsi="Arial"/>
          <w:sz w:val="18"/>
          <w:szCs w:val="18"/>
          <w:color w:val="auto"/>
        </w:rPr>
      </w:pPr>
    </w:p>
    <w:p>
      <w:pPr>
        <w:ind w:left="360" w:right="480" w:hanging="352"/>
        <w:spacing w:after="0" w:line="277"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publicly available estimates and specific risk premium added, based on external appraiser opinion regarding the risk related to the capital raising required to execute our business plan.</w:t>
      </w:r>
    </w:p>
    <w:p>
      <w:pPr>
        <w:spacing w:after="0" w:line="75" w:lineRule="exact"/>
        <w:rPr>
          <w:rFonts w:ascii="Arial" w:cs="Arial" w:eastAsia="Arial" w:hAnsi="Arial"/>
          <w:sz w:val="18"/>
          <w:szCs w:val="18"/>
          <w:color w:val="auto"/>
        </w:rPr>
      </w:pPr>
    </w:p>
    <w:p>
      <w:pPr>
        <w:ind w:left="360" w:hanging="35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a number of publicly traded companies which operate in the pharmaceuticals industry.</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probability of reaching sales was determined based on a publicly available research studies of a large number of clinical trials in various size and stages and indications and their associated success rates based on stage of clinical trials.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92"/>
              </w:rPr>
              <w:t>December 31,</w:t>
            </w: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Increase (Decrease)</w:t>
            </w:r>
          </w:p>
        </w:tc>
      </w:tr>
      <w:tr>
        <w:trPr>
          <w:trHeight w:val="26"/>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7"/>
                <w:szCs w:val="17"/>
                <w:color w:val="auto"/>
              </w:rPr>
            </w:pPr>
          </w:p>
        </w:tc>
        <w:tc>
          <w:tcPr>
            <w:tcW w:w="400" w:type="dxa"/>
            <w:vAlign w:val="bottom"/>
          </w:tcPr>
          <w:p>
            <w:pPr>
              <w:jc w:val="right"/>
              <w:ind w:right="5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6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20" w:type="dxa"/>
            <w:vAlign w:val="bottom"/>
            <w:gridSpan w:val="7"/>
          </w:tcPr>
          <w:p>
            <w:pPr>
              <w:ind w:left="60"/>
              <w:spacing w:after="0"/>
              <w:rPr>
                <w:sz w:val="20"/>
                <w:szCs w:val="20"/>
                <w:color w:val="auto"/>
              </w:rPr>
            </w:pPr>
            <w:r>
              <w:rPr>
                <w:rFonts w:ascii="Arial" w:cs="Arial" w:eastAsia="Arial" w:hAnsi="Arial"/>
                <w:sz w:val="14"/>
                <w:szCs w:val="14"/>
                <w:color w:val="auto"/>
              </w:rPr>
              <w:t>(In thousands, except for percentage information)</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70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8"/>
              <w:spacing w:after="0"/>
              <w:rPr>
                <w:sz w:val="20"/>
                <w:szCs w:val="20"/>
                <w:color w:val="auto"/>
              </w:rPr>
            </w:pPr>
            <w:r>
              <w:rPr>
                <w:rFonts w:ascii="Arial" w:cs="Arial" w:eastAsia="Arial" w:hAnsi="Arial"/>
                <w:sz w:val="18"/>
                <w:szCs w:val="18"/>
                <w:color w:val="auto"/>
              </w:rPr>
              <w:t>2,768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$ 2,648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  120</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r>
      <w:tr>
        <w:trPr>
          <w:trHeight w:val="257"/>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8,575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2,719</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5,856</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215.4%</w:t>
            </w:r>
          </w:p>
        </w:tc>
      </w:tr>
      <w:tr>
        <w:trPr>
          <w:trHeight w:val="257"/>
        </w:trPr>
        <w:tc>
          <w:tcPr>
            <w:tcW w:w="700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2"/>
                <w:szCs w:val="22"/>
                <w:color w:val="auto"/>
              </w:rPr>
            </w:pPr>
          </w:p>
        </w:tc>
        <w:tc>
          <w:tcPr>
            <w:tcW w:w="1240" w:type="dxa"/>
            <w:vAlign w:val="bottom"/>
            <w:gridSpan w:val="2"/>
          </w:tcPr>
          <w:p>
            <w:pPr>
              <w:jc w:val="right"/>
              <w:ind w:right="668"/>
              <w:spacing w:after="0"/>
              <w:rPr>
                <w:sz w:val="20"/>
                <w:szCs w:val="20"/>
                <w:color w:val="auto"/>
              </w:rPr>
            </w:pPr>
            <w:r>
              <w:rPr>
                <w:rFonts w:ascii="Arial" w:cs="Arial" w:eastAsia="Arial" w:hAnsi="Arial"/>
                <w:sz w:val="18"/>
                <w:szCs w:val="18"/>
                <w:color w:val="auto"/>
                <w:w w:val="87"/>
              </w:rPr>
              <w:t>11,343</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5,367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5,976</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111.4%</w:t>
            </w:r>
          </w:p>
        </w:tc>
      </w:tr>
      <w:tr>
        <w:trPr>
          <w:trHeight w:val="26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income, net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(146)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4,022</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r>
      <w:tr>
        <w:trPr>
          <w:trHeight w:val="257"/>
        </w:trPr>
        <w:tc>
          <w:tcPr>
            <w:tcW w:w="7000" w:type="dxa"/>
            <w:vAlign w:val="bottom"/>
            <w:gridSpan w:val="2"/>
          </w:tcPr>
          <w:p>
            <w:pPr>
              <w:ind w:left="18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11,197</w:t>
            </w:r>
          </w:p>
        </w:tc>
        <w:tc>
          <w:tcPr>
            <w:tcW w:w="7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$ 1,199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9,998</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-1148715</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-1148715</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-1148715</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2017 were $2.8 million, compared to $2.6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2016, an increase of $0.2 million, or 4.5%. The increase in research and development expenses was primarily due to an increase of $0.6 million in expenses for salaries and related employee expenses resulting mainly from an increase in salaries and bonuses (of which $0.2 million represented an increase in share-based compensation expenses), offset by $0.3 million primarily due to lower expenses for materials and decrease of $0.1 million in expenses for subcontractors and CROs.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for the year ended December 31, 2017 were $8.6 million, compared to $2.7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2016, an increase of $5.9 million, or 215.4%. The increase in general and administrative expenses was primarily due to an increase of $3.7 million in salaries and related employee expenses of which $3.2 million resulted from an increase in share-based compensation expenses, $1.1 million issuance costs of preferred B shares and $1.0 million in professional and other expenses related to the Company’s initial public offering expenses.</w:t>
      </w:r>
    </w:p>
    <w:p>
      <w:pPr>
        <w:spacing w:after="0" w:line="8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Financial income expenses, net</w:t>
      </w:r>
      <w:r>
        <w:rPr>
          <w:rFonts w:ascii="Arial" w:cs="Arial" w:eastAsia="Arial" w:hAnsi="Arial"/>
          <w:sz w:val="16"/>
          <w:szCs w:val="16"/>
          <w:color w:val="auto"/>
        </w:rPr>
        <w:t>. Financial income, net for the year ended December 31, 2017 was $0.1 million, compared to financial income, net of $4.2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2016. Financial income, net for the year ended December 31, 2017 resulted mainly from the change in the fair value of convertible loans, preferred shares, warrants to purchase Series A preferred shares and warrants to purchase Series B preferred shares that were recorded as a financial liability at fair value through profit or loss. During the years ended December 31, 2017 and 2016, we recorded a gain of $0.25 million and</w:t>
      </w:r>
    </w:p>
    <w:p>
      <w:pPr>
        <w:spacing w:after="0" w:line="2"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$4.3 million, respectively, on the fair value of financial liabilities. For the assumptions used in the valuation of the convertible loans and preferred shares components see “— Critical Accounting Policies and Estimate — Fair Value of Financial Liabilities Through Profit or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Since inception, we have incurred significant losses. For the years ended December 31, 2016 and 2017, our operating losses were $5.4 million and $11.3 million, respectively. In addition, during the years ended December 31, 2016 and 2017 and currently, we have been cash constrained due to our limited funds. We expect to continue to incur significant expenses and losses for the next several years. As of December 31, 2017, we had an accumulated deficit of $41.8 million. Since our inception and through December 31, 2017, we have raised a total of $31.3 million, including $7.2 million from sales of our ordinary shares, Series A preferred shares and warrants, of which $0.6 million was recorded as an intangible asset based on the fair value of ordinary shares issued in exchange, $10.6 million from convertible loans (of which an amount of approximately $1.0 million ($1.1 million including interest) was repaid in February 2017) and an amount of $8.5 million ($9.0 million including interest) was converted in October 2017 to Series B-1 preferred shares), $13.0 million from sales of our Series B preferred shares from October to December 2017 and $0.5 million from IIA grants. As of March 31, 2018, we had cash and cash equivalents of $9.2 million. Our primary uses of cash have been to fund research and development and working capital requirements, and we expect these will continue to be our primary uses of cash.</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estimate that the net proceeds from this offering and our existing cash and cash equivalents will enable us to fund our research and development expenses and working capital requirements for at least 12 months, during which we intend to conduct various development work designed to support advanced clinical trials such as the Phase 2b/3 clinical trial with EB612 and to conduct our planned Phase 2a trial with EB613 that may potentially support regulatory submissions for market approval.</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spacing w:after="0" w:line="107" w:lineRule="exact"/>
        <w:rPr>
          <w:sz w:val="20"/>
          <w:szCs w:val="20"/>
          <w:color w:val="auto"/>
        </w:rPr>
      </w:pPr>
    </w:p>
    <w:p>
      <w:pPr>
        <w:ind w:left="720" w:right="1040" w:hanging="352"/>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timing and outcome of clinical trials for, and regulatory review of, EB612, EB613 and any other product candidates we may develop;</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development activities for any other product candidates we may pursue;</w:t>
      </w:r>
    </w:p>
    <w:p>
      <w:pPr>
        <w:spacing w:after="0" w:line="144" w:lineRule="exact"/>
        <w:rPr>
          <w:rFonts w:ascii="Arial" w:cs="Arial" w:eastAsia="Arial" w:hAnsi="Arial"/>
          <w:sz w:val="18"/>
          <w:szCs w:val="18"/>
          <w:color w:val="auto"/>
        </w:rPr>
      </w:pPr>
    </w:p>
    <w:p>
      <w:pPr>
        <w:ind w:left="720" w:right="760" w:hanging="352"/>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0" w:hanging="352"/>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10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Until such time, if any, as we can generate substantial product revenue, we expect to finance our cash needs through a combination of private and public equity offerings, debt financings, government grants, strategic collaborations and licensing arrangements.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your rights as a holder of our ordinary shares.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oral PTH product candidates and any other product candidates that we would otherwise prefer to develop and market ourselves.</w:t>
      </w:r>
    </w:p>
    <w:p>
      <w:pPr>
        <w:spacing w:after="0" w:line="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audited financial statements for the year ended December 31, 2017, included elsewhere in this prospectus, note that there is substantial doubt about our ability to continue as a going concern as of such date; and in its report accompanying our audited financial statements included herein, our independent registered public accounting firm included an explanatory paragraph stating that our recurring losses from operations and lack of sufficient working capital raise substantial doubt as to our ability to continue as a going concern. This means that our management and our independent registered public accounting firm have substantial doubt about our ability to continue our operations without an additional infusion of capital from external sources. The audited financial statements have been prepared on a going concern basis and do not include any adjustments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financial statements, and it is likely that investors in this offering would lose all or a part of their investment.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149"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(audited)</w:t>
      </w:r>
    </w:p>
    <w:p>
      <w:pPr>
        <w:spacing w:after="0" w:line="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22225</wp:posOffset>
            </wp:positionV>
            <wp:extent cx="15951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r>
      <w:tr>
        <w:trPr>
          <w:trHeight w:val="26"/>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8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460"/>
              <w:spacing w:after="0"/>
              <w:rPr>
                <w:sz w:val="20"/>
                <w:szCs w:val="20"/>
                <w:color w:val="auto"/>
              </w:rPr>
            </w:pPr>
            <w:r>
              <w:rPr>
                <w:rFonts w:ascii="Arial" w:cs="Arial" w:eastAsia="Arial" w:hAnsi="Arial"/>
                <w:sz w:val="14"/>
                <w:szCs w:val="14"/>
                <w:color w:val="auto"/>
                <w:w w:val="90"/>
              </w:rPr>
              <w:t>(in thousands)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57"/>
        </w:trPr>
        <w:tc>
          <w:tcPr>
            <w:tcW w:w="9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1"/>
              </w:rPr>
              <w:t>(4,526)</w:t>
            </w:r>
          </w:p>
        </w:tc>
        <w:tc>
          <w:tcPr>
            <w:tcW w:w="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$(3,142)</w:t>
            </w:r>
          </w:p>
        </w:tc>
      </w:tr>
      <w:tr>
        <w:trPr>
          <w:trHeight w:val="257"/>
        </w:trPr>
        <w:tc>
          <w:tcPr>
            <w:tcW w:w="9200" w:type="dxa"/>
            <w:vAlign w:val="bottom"/>
            <w:gridSpan w:val="2"/>
          </w:tcPr>
          <w:p>
            <w:pPr>
              <w:ind w:left="520"/>
              <w:spacing w:after="0"/>
              <w:rPr>
                <w:sz w:val="20"/>
                <w:szCs w:val="20"/>
                <w:color w:val="auto"/>
              </w:rPr>
            </w:pPr>
            <w:r>
              <w:rPr>
                <w:rFonts w:ascii="Arial" w:cs="Arial" w:eastAsia="Arial" w:hAnsi="Arial"/>
                <w:sz w:val="18"/>
                <w:szCs w:val="18"/>
                <w:color w:val="auto"/>
              </w:rPr>
              <w:t>Cash provided by (used in) investing activities</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1,002</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(1,116)</w:t>
            </w:r>
          </w:p>
        </w:tc>
      </w:tr>
      <w:tr>
        <w:trPr>
          <w:trHeight w:val="264"/>
        </w:trPr>
        <w:tc>
          <w:tcPr>
            <w:tcW w:w="92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11,107</w:t>
            </w: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80" w:type="dxa"/>
            <w:vAlign w:val="bottom"/>
            <w:tcBorders>
              <w:bottom w:val="single" w:sz="8" w:color="CCEEFF"/>
            </w:tcBorders>
            <w:shd w:val="clear" w:color="auto" w:fill="CCEEFF"/>
          </w:tcPr>
          <w:p>
            <w:pPr>
              <w:spacing w:after="0"/>
              <w:rPr>
                <w:sz w:val="22"/>
                <w:szCs w:val="22"/>
                <w:color w:val="auto"/>
              </w:rPr>
            </w:pPr>
          </w:p>
        </w:tc>
      </w:tr>
      <w:tr>
        <w:trPr>
          <w:trHeight w:val="257"/>
        </w:trPr>
        <w:tc>
          <w:tcPr>
            <w:tcW w:w="9200" w:type="dxa"/>
            <w:vAlign w:val="bottom"/>
            <w:gridSpan w:val="2"/>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7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$ 2,958</w:t>
            </w:r>
          </w:p>
        </w:tc>
        <w:tc>
          <w:tcPr>
            <w:tcW w:w="280" w:type="dxa"/>
            <w:vAlign w:val="bottom"/>
          </w:tcPr>
          <w:p>
            <w:pPr>
              <w:spacing w:after="0"/>
              <w:rPr>
                <w:sz w:val="22"/>
                <w:szCs w:val="22"/>
                <w:color w:val="auto"/>
              </w:rPr>
            </w:pPr>
          </w:p>
        </w:tc>
      </w:tr>
      <w:tr>
        <w:trPr>
          <w:trHeight w:val="20"/>
        </w:trPr>
        <w:tc>
          <w:tcPr>
            <w:tcW w:w="8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-822960</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used in operating activities for the year ended December 31, 2017 was $4.5 million and consisted primarily of our operating loss of $11.3 million arising mainly from research and development expenses and general and administrative expenses, partially offset by $4.9 million of share-based compensation, $1.1 million of issuance costs related to preferred B shares, of which $0.9 million in issuance costs in cash was related to investing activities, and by a $0.9 million decrease in working capital.</w:t>
      </w:r>
    </w:p>
    <w:p>
      <w:pPr>
        <w:spacing w:after="0" w:line="6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Cash used in operating activities for the year ended December 31, 2016 was $3.1 million and consisted primarily of our operating loss of $5.4 million arising mainly from research and development activities and general and administrative expenses, partially offset by $1.5 million of share-based compensation and by $0.4 million decrease in working capital.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cash used in operating activities from 2016 to 2017 was mainly due to an increase of $0.5 million in expenses for salaries and related employee expenses and $0.5 million for services. In addition, there was an increase in professional services costs of $0.6 million, mainly related to the initial public offering process.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2017 consisted primarily of a decrease in restricted deposits of $1.1 million used for the repayment of a portion of the 2015 Convertible Loan in February 2017.</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2016 consisted primarily of an investment in restricted deposits of $1.1 million to secure the repayment of short-term convertible loans.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0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Net Cash provided by financing activities for the year ended December 31, 2017 resulted from net proceeds of $12.1 million from the issuance of preferred B shares during October and December 2017 and a $1.0 million decrease from the repayment of a portion of the 2015 Convertible Loan.</w:t>
      </w:r>
    </w:p>
    <w:p>
      <w:pPr>
        <w:spacing w:after="0" w:line="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2016 resulted from net proceeds of $7.2 million from convertible loans and warrants to purchase our shares.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contractual obligations and commitments as of December 31, 2017 that will affect our future liquidity: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r>
      <w:tr>
        <w:trPr>
          <w:trHeight w:val="173"/>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Less than</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More than</w:t>
            </w:r>
          </w:p>
        </w:tc>
      </w:tr>
      <w:tr>
        <w:trPr>
          <w:trHeight w:val="186"/>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6"/>
                <w:szCs w:val="16"/>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Total</w:t>
            </w:r>
          </w:p>
        </w:tc>
        <w:tc>
          <w:tcPr>
            <w:tcW w:w="1020" w:type="dxa"/>
            <w:vAlign w:val="bottom"/>
            <w:gridSpan w:val="4"/>
          </w:tcPr>
          <w:p>
            <w:pPr>
              <w:ind w:left="400"/>
              <w:spacing w:after="0"/>
              <w:rPr>
                <w:sz w:val="20"/>
                <w:szCs w:val="20"/>
                <w:color w:val="auto"/>
              </w:rPr>
            </w:pPr>
            <w:r>
              <w:rPr>
                <w:rFonts w:ascii="Arial" w:cs="Arial" w:eastAsia="Arial" w:hAnsi="Arial"/>
                <w:sz w:val="14"/>
                <w:szCs w:val="14"/>
                <w:b w:val="1"/>
                <w:bCs w:val="1"/>
                <w:color w:val="auto"/>
              </w:rPr>
              <w:t>1 year</w:t>
            </w:r>
          </w:p>
        </w:tc>
        <w:tc>
          <w:tcPr>
            <w:tcW w:w="1660" w:type="dxa"/>
            <w:vAlign w:val="bottom"/>
            <w:gridSpan w:val="3"/>
          </w:tcPr>
          <w:p>
            <w:pPr>
              <w:ind w:left="440"/>
              <w:spacing w:after="0"/>
              <w:rPr>
                <w:sz w:val="20"/>
                <w:szCs w:val="20"/>
                <w:color w:val="auto"/>
              </w:rPr>
            </w:pPr>
            <w:r>
              <w:rPr>
                <w:rFonts w:ascii="Arial" w:cs="Arial" w:eastAsia="Arial" w:hAnsi="Arial"/>
                <w:sz w:val="14"/>
                <w:szCs w:val="14"/>
                <w:b w:val="1"/>
                <w:bCs w:val="1"/>
                <w:color w:val="auto"/>
              </w:rPr>
              <w:t>1 – 3 years</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3 – 5 years</w:t>
            </w:r>
          </w:p>
        </w:tc>
        <w:tc>
          <w:tcPr>
            <w:tcW w:w="400" w:type="dxa"/>
            <w:vAlign w:val="bottom"/>
          </w:tcPr>
          <w:p>
            <w:pPr>
              <w:spacing w:after="0"/>
              <w:rPr>
                <w:sz w:val="16"/>
                <w:szCs w:val="16"/>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5 years</w:t>
            </w:r>
          </w:p>
        </w:tc>
      </w:tr>
      <w:tr>
        <w:trPr>
          <w:trHeight w:val="26"/>
        </w:trPr>
        <w:tc>
          <w:tcPr>
            <w:tcW w:w="5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center"/>
              <w:ind w:left="41"/>
              <w:spacing w:after="0"/>
              <w:rPr>
                <w:sz w:val="20"/>
                <w:szCs w:val="20"/>
                <w:color w:val="auto"/>
              </w:rPr>
            </w:pPr>
            <w:r>
              <w:rPr>
                <w:rFonts w:ascii="Arial" w:cs="Arial" w:eastAsia="Arial" w:hAnsi="Arial"/>
                <w:sz w:val="14"/>
                <w:szCs w:val="14"/>
                <w:color w:val="auto"/>
                <w:w w:val="91"/>
              </w:rPr>
              <w:t>(In thousands)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57"/>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 for facility and vehicles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63"/>
        </w:trPr>
        <w:tc>
          <w:tcPr>
            <w:tcW w:w="5800" w:type="dxa"/>
            <w:vAlign w:val="bottom"/>
            <w:gridSpan w:val="3"/>
          </w:tcPr>
          <w:p>
            <w:pPr>
              <w:spacing w:after="0"/>
              <w:rPr>
                <w:sz w:val="20"/>
                <w:szCs w:val="20"/>
                <w:color w:val="auto"/>
              </w:rPr>
            </w:pPr>
            <w:r>
              <w:rPr>
                <w:rFonts w:ascii="Arial" w:cs="Arial" w:eastAsia="Arial" w:hAnsi="Arial"/>
                <w:sz w:val="18"/>
                <w:szCs w:val="18"/>
                <w:color w:val="auto"/>
              </w:rPr>
              <w:t>2012 Convertible Loans</w:t>
            </w:r>
          </w:p>
        </w:tc>
        <w:tc>
          <w:tcPr>
            <w:tcW w:w="1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1,288</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2"/>
                <w:szCs w:val="22"/>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1,254</w:t>
            </w:r>
          </w:p>
        </w:tc>
      </w:tr>
      <w:tr>
        <w:trPr>
          <w:trHeight w:val="20"/>
        </w:trPr>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1,519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132</w:t>
            </w: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w:t>
            </w: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1,254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7071360</wp:posOffset>
            </wp:positionH>
            <wp:positionV relativeFrom="paragraph">
              <wp:posOffset>-196850</wp:posOffset>
            </wp:positionV>
            <wp:extent cx="1803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7494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-659765</wp:posOffset>
            </wp:positionV>
            <wp:extent cx="137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-659765</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-659765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-659765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Convertible Loans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2012 Convertible Loan</w:t>
      </w:r>
    </w:p>
    <w:p>
      <w:pPr>
        <w:spacing w:after="0" w:line="10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November 8, 2012 and December 31, 2012, we entered into loan agreements with certain lenders, or the 2012 Convertible Loans. Pursuant to these agreements, the lenders loaned us an aggregate amount of $1.2 million. The 2012 Convertible Loans bear interest at a rate of 0.6% per year, which is to be paid every five years, and are due and payable after a term of 20 years. Interest expenses of $138,000 to be incurred through maturity are included in the table above. Each of the lenders has the right during the term to convert its respective loan amount into our ordinary shares at a conversion price of $240.26 per ordinary share (subject to adjustment), and for a period of the initial five years of the term of the loan agreement to exchange all such ordinary shares received into ordinary shares of D.N.A Biomedical at the rate of one of our ordinary shares for 5,590 ordinary shares of D.N.A Biomedical (subject to adjustment). Under the terms of the 2012 Convertible Loans, the outstanding loan amounts will be automatically converted into our ordinary shares upon the closing of this offering, and therefore these loans will no longer be outstanding after this offering.</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2015 Convertible Loan</w:t>
      </w:r>
    </w:p>
    <w:p>
      <w:pPr>
        <w:spacing w:after="0" w:line="10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August 5, 2015, we entered into a Convertible Promissory Note and Loan Agreement with certain lenders, or the 2015 Convertible Loan. Pursuant to the loan agreement for the 2015 Convertible Loan, the lenders loaned us an aggregate amount of $2.005 million. The 2015 Convertible Loan bore interest at a rate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5% per year. Under its terms, the 2015 Convertible Loan was to be automatically converted into shares upon the occurrence of the following events, each a 2015 Triggering Event: an initial public offering, a private placement of equity securities or securities convertible into equity securities in an aggregate amount of no less than $10 million or a change of control. In connection with any such 2015 Triggering Event, the 2015 Convertible Loans would have been converted into the equity securities and/or securities convertible into equity securities of the Company that were issued in such a transaction, at a 25% discount.</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we issued to each lender under the 2015 Convertible Loan warrants, or the 2015 Warrants, to purchase an additional 40% of the amount of our securities that would have been issued to such lender as a result of the automatic conversion upon a 2015 Triggering Event at an exercise price of 125% of the applicable price per share. The 2015 Warrants were exercisable for the earlier of two years from the warrant issuance date or one year from the consummation of an initial public offering. As part of the 2016 Convertible Loan as discussed below, we granted the lenders a right to roll-over the 2015 Convertible Loan into the 2016 Convertible Loan. The lenders elected to roll-over an amount of $1.057 million into the 2016 Convertible Loan and the remainder, in an amount of $1.053 million (including interest and principal), was repaid by us in February 2017. There are no amounts outstanding under the 2015 Convertible Loans, and none of the 2015 Warrants remain outstanding, and as a result, the 2015 Convertible Loan agreement is no longer in force.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2016 Convertible Loan</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or the 2016 Convertible Loan.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8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2016 Convertible Loan was to be automatically converted into shares upon the occurrence of any of the following events, each a 2016 Triggering Event: an initial public offering in which we raise at least $20 million, a private placement of our equity securities in an aggregate amount of not less than $10 million, or a change of control. In addition, we issued to each lender under the 2016 Convertible Loan warrants to purchase an additional 40% of the amount of our securities issued to such lender as a result of the automatic conversion following a 2016 Triggering Event.</w:t>
      </w:r>
    </w:p>
    <w:p>
      <w:pPr>
        <w:spacing w:after="0" w:line="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Following the completion of the Series B preferred shares purchase agreement (as discussed below), which constituted a 2016 Triggering Event, the loan amount, together with all accrued interest, was converted into Series B-1 preferred shares. In addition, the Series B preferred shares purchase agreement set the price and the amount of shares for which the holders of the previously issued 2016 Warrants (as described below) are entitled to exercise their 2016 Warrants. The 2016 Warrants are exercisable until June 2020, and will be exercisable into an aggregate of 687,960 ordinary shares following the completion of this offering.</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Severance Obligations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December 31, 2017, our severance pay liability, net was $70,000. Because the timing of any such payments is not fixed and determinable, we have not included these liabilities in the table above.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also have obligations to make future payments to third parties that become due and payable on the achievement of certain milestones, such as royalties upon sale of products. We have not included these commitments in our statements of financial position or in the table above because the achievement and timing of these milestones is not fixed and determinable. These potential future commitments include:</w:t>
      </w:r>
    </w:p>
    <w:p>
      <w:pPr>
        <w:spacing w:after="0" w:line="154" w:lineRule="exact"/>
        <w:rPr>
          <w:sz w:val="20"/>
          <w:szCs w:val="20"/>
          <w:color w:val="auto"/>
        </w:rPr>
      </w:pPr>
    </w:p>
    <w:p>
      <w:pPr>
        <w:ind w:left="720" w:right="580" w:hanging="352"/>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commitment to pay Oramed royalties equal to 3% of our net revenues pursuant to the terms of the Patent Transfer Agreement between us and Oramed; and</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commitment to pay royalties to the IIA. See “— Patent Transfer Agreement and Grant Funding.”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engaged in any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Foreign Currency Exchange Risk</w:t>
      </w:r>
    </w:p>
    <w:p>
      <w:pPr>
        <w:spacing w:after="0" w:line="10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functional currency and reporting currency is the U.S. dollar. Fluctuations in the New Israel Shekel, or NIS, to U.S. dollar exchange rate may affect our results because some of our assets and liabilities are linked to the NIS and a portion of our operating expenses are denominated in NIS. In the future, we also may be exposed to additional currency fluctuations against the U.S. dollar.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Inflation Risk</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two fiscal years. If our costs were to become subject to significant inflationary pressures, we may not be able to fully offset such higher costs through hedging transactions. Our inability or failure to do so could harm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IFRS 9 “Financial Instruments”</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complete version of IFRS 9 replaces most of the guidance in IAS 39. IFRS 9 retains but simplifies the mixed measurement model and establishes three primary measurement categories for financial assets: amortized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The implementation of this standard is not expected to have a material impact on our ,financial statements.</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IFRS 16 “Leases”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 assets separately from interest on lease liabilities in the income statement. As IFRS 16 substantially carries forward the lessor accounting requirements in IAS 17, a lessor will continue to classify its leases as operating leases or finance leases and to account for those two types of leases differently. IFRS 16 is effective from January 1, 2019 with early adoption allowed only if IFRS 15, Revenue from Contracts with Customers, is also applied. We are currently evaluating the impact of adoption of this standard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Exemptions</w:t>
      </w:r>
    </w:p>
    <w:p>
      <w:pPr>
        <w:spacing w:after="0" w:line="1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We are planning a clinical trial to evaluate the PK/PD profile of various EB612 dose regimens for the second half of 2018. In the future, after the completion and evaluation of our planned PK/PD clinical trial and subject to available funds, we expect to initiate a Phase 2b/3 clinical trial of EB612 in hypoparathyroidism, which would potentially support a submission for regulatory approval of EB612. The FDA and the EMA have granted EB612 orphan drug designation for the treatment of hypoparathyroidism. We intend to utilize future funds, as available, to prepare EB612 for advanced clinical studies and ultimately for regulatory approval.</w:t>
      </w:r>
    </w:p>
    <w:p>
      <w:pPr>
        <w:spacing w:after="0" w:line="7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w:t>
      </w:r>
      <w:r>
        <w:rPr>
          <w:rFonts w:ascii="Arial" w:cs="Arial" w:eastAsia="Arial" w:hAnsi="Arial"/>
          <w:sz w:val="26"/>
          <w:szCs w:val="26"/>
          <w:color w:val="auto"/>
          <w:vertAlign w:val="superscript"/>
        </w:rPr>
        <w:t>®</w:t>
      </w:r>
      <w:r>
        <w:rPr>
          <w:rFonts w:ascii="Arial" w:cs="Arial" w:eastAsia="Arial" w:hAnsi="Arial"/>
          <w:sz w:val="17"/>
          <w:szCs w:val="17"/>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third quarter of 2015, we successfully completed our Phase 2a trial for EB612. The end points in the trial were met, and 17 subjects completed the four-month trial and reported no related adverse events.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still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including convenience of application, that no special preparation is required and that it can be stored under convenient storage conditions (room temperature or refrigeration for long term storage).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Based on consultations with key opinion leaders in the hypoparathyroidism field who have reviewed our Phase 2a results and are familiar with the REPLACE study, we have begun planning for a future Phase 2b/3 trial, designed to possibly be a pivotal study for registration. We expect that this Phase 2b/3 study, when initiated, will be designed to replicate the REPLACE study in many aspects and to achieve a significant reduction in urinary calcium.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511810</wp:posOffset>
            </wp:positionV>
            <wp:extent cx="4965700" cy="2332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6570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design for EB612 PK/PD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57785</wp:posOffset>
            </wp:positionV>
            <wp:extent cx="4356735" cy="12433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5673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design for EB612 Phase 2b/3 pivotal trial</w:t>
      </w:r>
    </w:p>
    <w:p>
      <w:pPr>
        <w:spacing w:after="0" w:line="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also developing an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have osteoporosis, and another approximately 43 million have low bone mass placing them at increased risk for osteoporosis. PTH plays a key role in the ongoing process of formation and degradation of bones. Forteo</w:t>
      </w:r>
      <w:r>
        <w:rPr>
          <w:rFonts w:ascii="Arial" w:cs="Arial" w:eastAsia="Arial" w:hAnsi="Arial"/>
          <w:sz w:val="27"/>
          <w:szCs w:val="27"/>
          <w:b w:val="1"/>
          <w:bCs w:val="1"/>
          <w:color w:val="auto"/>
          <w:vertAlign w:val="superscript"/>
        </w:rPr>
        <w:t>®</w:t>
      </w:r>
      <w:r>
        <w:rPr>
          <w:rFonts w:ascii="Arial" w:cs="Arial" w:eastAsia="Arial" w:hAnsi="Arial"/>
          <w:sz w:val="18"/>
          <w:szCs w:val="18"/>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delivered orally, we believe it will reduce the treatment burden on patients and lead to significantly higher patient and physician acceptance compared to an injectable form of PTH.</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pursue approval of EB613 utilizing the alternative Section 505(b)(2) pathway permitted under the Federal Food, Drug and Cosmetic Act. Based on recent changes in guidance issued by the FDA and the similarity of our product’s PK profile, to that of Forteo, we believe it is feasible to complete an NDA submission for EB613 with one or two pivotal Phase 3 studies, conducted with approximately 400 – 500 osteoporosis patients, that will examine bone mineral density and particular biochemical markers of bone activity. These studies would be conducted in anticipation of a 505(b)(2) application to the FDA and would include a comparison to the currently marketed drug, Forteo. In pursuit of this pathway, our intent is to seek FDA guidance as part of a Pre-IND meeting in the second half of 2018. Based on the responses of the FDA, we intend to conduct a dose ranging Phase 2a study in approximately 150 osteoporosis patients. Following analysis of this data, we intend to design and execute pivotal trial(s) in osteoporosis patients guided by the feedback of the FDA. We currently do not anticipate that the FDA will request that we examine the effects on bone mineral density in these trials past 12 months. We therefore believe that this alternative pathway will be significantly shorter than a pathway that utilizes bone fracture studies in significantly larger numbers of patients over greater periods of time.</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in the future.</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115570</wp:posOffset>
            </wp:positionV>
            <wp:extent cx="5042535" cy="1166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4253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our operations are currently focused in our offices in Israel, we intend in coming years to build a substantial U.S. presence to execute on the later stage development of our products, including by expanding our executive management team, clinical operations, regulatory operations, and commercialization. 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120" w:lineRule="exact"/>
        <w:rPr>
          <w:sz w:val="20"/>
          <w:szCs w:val="20"/>
          <w:color w:val="auto"/>
        </w:rPr>
      </w:pPr>
    </w:p>
    <w:p>
      <w:pPr>
        <w:ind w:left="720" w:hanging="352"/>
        <w:spacing w:after="0" w:line="255"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Advance our lead product candidate, EB612, through clinical development and into commercialization for the treatment of hypoparathyroidism</w:t>
      </w:r>
      <w:r>
        <w:rPr>
          <w:rFonts w:ascii="Arial" w:cs="Arial" w:eastAsia="Arial" w:hAnsi="Arial"/>
          <w:sz w:val="18"/>
          <w:szCs w:val="18"/>
          <w:color w:val="auto"/>
        </w:rPr>
        <w:t>: We completed a Phase 2a clinical trial of EB612 for the treatment of hypoparathyroidism and reported supportive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the third quarter of 2015. We are planning a clinical trial to evaluate the PK/PD profile of various EB612 dose regimens for the second half of 2018. Upon the completion and evaluation of our planned PK/PD clinical trial and subject to receipt of additional funding, we expect to initiate a Phase 2b/3 clinical trial of EB612 in hypoparathyroidism which would potentially support a submission for regulatory approval of EB612.</w:t>
      </w:r>
    </w:p>
    <w:p>
      <w:pPr>
        <w:spacing w:after="0" w:line="152" w:lineRule="exact"/>
        <w:rPr>
          <w:rFonts w:ascii="Arial" w:cs="Arial" w:eastAsia="Arial" w:hAnsi="Arial"/>
          <w:sz w:val="18"/>
          <w:szCs w:val="18"/>
          <w:color w:val="auto"/>
        </w:rPr>
      </w:pPr>
    </w:p>
    <w:p>
      <w:pPr>
        <w:ind w:left="720" w:right="60" w:hanging="352"/>
        <w:spacing w:after="0" w:line="312" w:lineRule="auto"/>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Produce supportive clinical data for our second product candidate, EB613, for the treatment of osteoporosis, before advancing into late-stage clinical trials</w:t>
      </w:r>
      <w:r>
        <w:rPr>
          <w:rFonts w:ascii="Arial" w:cs="Arial" w:eastAsia="Arial" w:hAnsi="Arial"/>
          <w:sz w:val="16"/>
          <w:szCs w:val="16"/>
          <w:color w:val="auto"/>
        </w:rPr>
        <w:t>: Our intent is to seek FDA guidance on our proposed clinical trial design as part of a Pre-IND meeting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half of 2018. After we receive feedback from the FDA, we intend to conduct a Phase 2a dose finding study in osteoporosis patients in 2019.</w:t>
      </w:r>
    </w:p>
    <w:p>
      <w:pPr>
        <w:spacing w:after="0" w:line="106" w:lineRule="exact"/>
        <w:rPr>
          <w:rFonts w:ascii="Arial" w:cs="Arial" w:eastAsia="Arial" w:hAnsi="Arial"/>
          <w:sz w:val="16"/>
          <w:szCs w:val="16"/>
          <w:color w:val="auto"/>
        </w:rPr>
      </w:pPr>
    </w:p>
    <w:p>
      <w:pPr>
        <w:ind w:left="720" w:right="160" w:hanging="352"/>
        <w:spacing w:after="0" w:line="273"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Leverage our expertise in the oral delivery of PTH to develop product candidates in additional indications</w:t>
      </w:r>
      <w:r>
        <w:rPr>
          <w:rFonts w:ascii="Arial" w:cs="Arial" w:eastAsia="Arial" w:hAnsi="Arial"/>
          <w:sz w:val="17"/>
          <w:szCs w:val="17"/>
          <w:color w:val="auto"/>
        </w:rPr>
        <w:t>: In the future, we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exploratory Phase 2 studies for the use of our oral PTH candidates in additional indications in which PTH plays a key biological role, including non-union fractures, one indication within the field of bone healing. We plan to use EB613, or a further modified formulation, if studies suggest we could achieve a PK profile that is more efficacious, for these indications. We also plan to apply our drug delivery technology to other large molecules with chemical and other characteristics that would be advantageous with our technology in order to target orphan indications and other areas with significant unmet medical need.</w:t>
      </w:r>
    </w:p>
    <w:p>
      <w:pPr>
        <w:spacing w:after="0" w:line="151" w:lineRule="exact"/>
        <w:rPr>
          <w:rFonts w:ascii="Arial" w:cs="Arial" w:eastAsia="Arial" w:hAnsi="Arial"/>
          <w:sz w:val="17"/>
          <w:szCs w:val="17"/>
          <w:color w:val="auto"/>
        </w:rPr>
      </w:pPr>
    </w:p>
    <w:p>
      <w:pPr>
        <w:ind w:left="720" w:right="120" w:hanging="352"/>
        <w:spacing w:after="0" w:line="286" w:lineRule="auto"/>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Improve the efficacy profile of large molecule therapeutics through the application of our proprietary oral delivery technology</w:t>
      </w:r>
      <w:r>
        <w:rPr>
          <w:rFonts w:ascii="Arial" w:cs="Arial" w:eastAsia="Arial" w:hAnsi="Arial"/>
          <w:sz w:val="16"/>
          <w:szCs w:val="16"/>
          <w:color w:val="auto"/>
        </w:rPr>
        <w:t>: Oral drug</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lowers the treatment burden on patients relative to injectable drugs, leading to higher patient and physician acceptance. However, peptides, proteins and other large molecule therapeutics can currently only be delivered via injections and other non-oral pathways because oral administration leads to negligible absorption into the blood stream as well as enzymatic degradation within the gastrointestinal tract.</w:t>
      </w:r>
    </w:p>
    <w:p>
      <w:pPr>
        <w:spacing w:after="0" w:line="1" w:lineRule="exact"/>
        <w:rPr>
          <w:rFonts w:ascii="Arial" w:cs="Arial" w:eastAsia="Arial" w:hAnsi="Arial"/>
          <w:sz w:val="16"/>
          <w:szCs w:val="16"/>
          <w:color w:val="auto"/>
        </w:rPr>
      </w:pPr>
    </w:p>
    <w:p>
      <w:pPr>
        <w:ind w:left="720"/>
        <w:spacing w:after="0" w:line="261" w:lineRule="auto"/>
        <w:rPr>
          <w:rFonts w:ascii="Arial" w:cs="Arial" w:eastAsia="Arial" w:hAnsi="Arial"/>
          <w:sz w:val="16"/>
          <w:szCs w:val="16"/>
          <w:color w:val="auto"/>
        </w:rPr>
      </w:pPr>
      <w:r>
        <w:rPr>
          <w:rFonts w:ascii="Arial" w:cs="Arial" w:eastAsia="Arial" w:hAnsi="Arial"/>
          <w:sz w:val="18"/>
          <w:szCs w:val="18"/>
          <w:color w:val="auto"/>
        </w:rPr>
        <w:t>Our technology is designed to overcome both of these issues by enabling enhanced systemic absorption of large molecules and slowing their enzymatic degradation.</w:t>
      </w:r>
    </w:p>
    <w:p>
      <w:pPr>
        <w:spacing w:after="0" w:line="143" w:lineRule="exact"/>
        <w:rPr>
          <w:rFonts w:ascii="Arial" w:cs="Arial" w:eastAsia="Arial" w:hAnsi="Arial"/>
          <w:sz w:val="16"/>
          <w:szCs w:val="16"/>
          <w:color w:val="auto"/>
        </w:rPr>
      </w:pPr>
    </w:p>
    <w:p>
      <w:pPr>
        <w:ind w:left="720" w:right="120" w:hanging="352"/>
        <w:spacing w:after="0" w:line="271"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Focus our development and commercialization efforts on indications with significant unmet medical need</w:t>
      </w:r>
      <w:r>
        <w:rPr>
          <w:rFonts w:ascii="Arial" w:cs="Arial" w:eastAsia="Arial" w:hAnsi="Arial"/>
          <w:sz w:val="17"/>
          <w:szCs w:val="17"/>
          <w:color w:val="auto"/>
        </w:rPr>
        <w:t>: We are focused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orally delivered large molecule therapeutics for the treatment of orphan indications and other indications with significant unmet medical need. Between 1993 and 2004, large-molecule clinical approval success rates have outpaced small molecules by about two-to-one and there are a wide range of large-molecules candidates within the orphan space for potential use with our oral drug delivery technology. For product candidates that target orphan indications, we intend to retain commercialization rights within key territories, including the United States, because of the ability to commercialize with a small sales force. For product candidates that target indications with larger patient populations, we may choose to partner with larger biopharmaceutical companies ahead of late stage development and commercialization or to license our technology to third parties for their additional indications.</w:t>
      </w:r>
    </w:p>
    <w:p>
      <w:pPr>
        <w:spacing w:after="0" w:line="138" w:lineRule="exact"/>
        <w:rPr>
          <w:rFonts w:ascii="Arial" w:cs="Arial" w:eastAsia="Arial" w:hAnsi="Arial"/>
          <w:sz w:val="17"/>
          <w:szCs w:val="17"/>
          <w:color w:val="auto"/>
        </w:rPr>
      </w:pPr>
    </w:p>
    <w:p>
      <w:pPr>
        <w:ind w:left="720" w:right="80" w:hanging="352"/>
        <w:spacing w:after="0" w:line="259"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Initially develop products based on FDA-approved large molecule therapeutics</w:t>
      </w:r>
      <w:r>
        <w:rPr>
          <w:rFonts w:ascii="Arial" w:cs="Arial" w:eastAsia="Arial" w:hAnsi="Arial"/>
          <w:sz w:val="18"/>
          <w:szCs w:val="18"/>
          <w:color w:val="auto"/>
        </w:rPr>
        <w:t>: By initially focusing on the development of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that apply our technology to FDA-approved large molecule therapeutic agents with known mechanisms of action, we believe we can reduce the development risks associated with our product candidates. We believe this will allow us to advance our product candidates efficiently and predictably through the development cycle.</w:t>
      </w: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focused on the development and commercialization of product candidates that leverage our proprietary technology for the oral delivery of large molecule therapeutics. Recently, drug development has shifted towards the use of peptides, proteins and other large molecules for the treatment of various diseases. By lowering the treatment burden on patients, oral drug delivery leads to higher patient and physician acceptance. In addition, oral drug delivery provides significantly more flexibility, both in size of dose and number of doses per day, than injectable drugs, which are frequently administered by preset injection pen and only once per day.</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Currently, peptides, proteins and other large molecule therapeutics can only be delivered via injections and other non-oral 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carrier molecule is designed to create a weak association with our chosen large molecule therapeutic, leaving the therapeutic agent chemically unmodified. The carrier molecule enables transport across the intestinal membrane via transcellular absorption without compromising the integrity of the intestinal wall. Because of the weak association between the carrier molecule and the therapeutic agent, the interaction is designed to be reversible and occurs spontaneously by simple dilution on entering the blood. We selected protease inhibitors that act by specifically inhibiting a number of gastrointestinal enzymes designed to assist in the degradation and digestion of proteins without interfering with normal gastrointestinal activity.</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order for large molecule therapeutics to be benefit from the use of our oral delivery technology, they must demonstrate a number of specific characteristics, including:</w:t>
      </w:r>
    </w:p>
    <w:p>
      <w:pPr>
        <w:spacing w:after="0" w:line="143" w:lineRule="exact"/>
        <w:rPr>
          <w:sz w:val="20"/>
          <w:szCs w:val="20"/>
          <w:color w:val="auto"/>
        </w:rPr>
      </w:pPr>
    </w:p>
    <w:p>
      <w:pPr>
        <w:ind w:left="720" w:hanging="352"/>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appropriate size, as measured by molecular weight, and other chemical/physical characteristics;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mechanism of action that favors delivery through the gastrointestinal tract rather than through injections, and;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dosing schedule that requires dosing one or more times per day for at least three months.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Based on these criteria, the first product candidate we chose to pursue was PTH, which has the potential for therapeutic use in a number of indications including hypoparathyroidism, osteoporosis and non-union fractures.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Stage of</w:t>
            </w:r>
          </w:p>
        </w:tc>
        <w:tc>
          <w:tcPr>
            <w:tcW w:w="3580" w:type="dxa"/>
            <w:vAlign w:val="bottom"/>
          </w:tcPr>
          <w:p>
            <w:pPr>
              <w:spacing w:after="0"/>
              <w:rPr>
                <w:sz w:val="14"/>
                <w:szCs w:val="14"/>
                <w:color w:val="auto"/>
              </w:rPr>
            </w:pPr>
          </w:p>
        </w:tc>
      </w:tr>
      <w:tr>
        <w:trPr>
          <w:trHeight w:val="186"/>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Program</w:t>
            </w:r>
          </w:p>
        </w:tc>
        <w:tc>
          <w:tcPr>
            <w:tcW w:w="2480" w:type="dxa"/>
            <w:vAlign w:val="bottom"/>
            <w:gridSpan w:val="2"/>
          </w:tcPr>
          <w:p>
            <w:pPr>
              <w:ind w:left="820"/>
              <w:spacing w:after="0"/>
              <w:rPr>
                <w:sz w:val="20"/>
                <w:szCs w:val="20"/>
                <w:color w:val="auto"/>
              </w:rPr>
            </w:pPr>
            <w:r>
              <w:rPr>
                <w:rFonts w:ascii="Arial" w:cs="Arial" w:eastAsia="Arial" w:hAnsi="Arial"/>
                <w:sz w:val="14"/>
                <w:szCs w:val="14"/>
                <w:b w:val="1"/>
                <w:bCs w:val="1"/>
                <w:color w:val="auto"/>
              </w:rPr>
              <w:t>Indication</w:t>
            </w: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Description</w:t>
            </w: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Development</w:t>
            </w:r>
          </w:p>
        </w:tc>
        <w:tc>
          <w:tcPr>
            <w:tcW w:w="3580" w:type="dxa"/>
            <w:vAlign w:val="bottom"/>
          </w:tcPr>
          <w:p>
            <w:pPr>
              <w:ind w:left="1600"/>
              <w:spacing w:after="0"/>
              <w:rPr>
                <w:sz w:val="20"/>
                <w:szCs w:val="20"/>
                <w:color w:val="auto"/>
              </w:rPr>
            </w:pPr>
            <w:r>
              <w:rPr>
                <w:rFonts w:ascii="Arial" w:cs="Arial" w:eastAsia="Arial" w:hAnsi="Arial"/>
                <w:sz w:val="14"/>
                <w:szCs w:val="14"/>
                <w:b w:val="1"/>
                <w:bCs w:val="1"/>
                <w:color w:val="auto"/>
              </w:rPr>
              <w:t>Status</w:t>
            </w:r>
          </w:p>
        </w:tc>
      </w:tr>
      <w:tr>
        <w:trPr>
          <w:trHeight w:val="26"/>
        </w:trPr>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22"/>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EB612</w:t>
            </w:r>
          </w:p>
        </w:tc>
        <w:tc>
          <w:tcPr>
            <w:tcW w:w="2480" w:type="dxa"/>
            <w:vAlign w:val="bottom"/>
            <w:gridSpan w:val="2"/>
          </w:tcPr>
          <w:p>
            <w:pPr>
              <w:spacing w:after="0"/>
              <w:rPr>
                <w:sz w:val="20"/>
                <w:szCs w:val="20"/>
                <w:color w:val="auto"/>
              </w:rPr>
            </w:pPr>
            <w:r>
              <w:rPr>
                <w:rFonts w:ascii="Arial" w:cs="Arial" w:eastAsia="Arial" w:hAnsi="Arial"/>
                <w:sz w:val="18"/>
                <w:szCs w:val="18"/>
                <w:color w:val="auto"/>
              </w:rPr>
              <w:t>Hypoparathyroidism</w:t>
            </w:r>
          </w:p>
        </w:tc>
        <w:tc>
          <w:tcPr>
            <w:tcW w:w="1780" w:type="dxa"/>
            <w:vAlign w:val="bottom"/>
            <w:gridSpan w:val="2"/>
          </w:tcPr>
          <w:p>
            <w:pPr>
              <w:spacing w:after="0"/>
              <w:rPr>
                <w:sz w:val="20"/>
                <w:szCs w:val="20"/>
                <w:color w:val="auto"/>
              </w:rPr>
            </w:pPr>
            <w:r>
              <w:rPr>
                <w:rFonts w:ascii="Arial" w:cs="Arial" w:eastAsia="Arial" w:hAnsi="Arial"/>
                <w:sz w:val="18"/>
                <w:szCs w:val="18"/>
                <w:color w:val="auto"/>
              </w:rPr>
              <w:t>Oral PTH (1-34)</w:t>
            </w:r>
          </w:p>
        </w:tc>
        <w:tc>
          <w:tcPr>
            <w:tcW w:w="1760" w:type="dxa"/>
            <w:vAlign w:val="bottom"/>
            <w:gridSpan w:val="2"/>
          </w:tcPr>
          <w:p>
            <w:pPr>
              <w:spacing w:after="0"/>
              <w:rPr>
                <w:sz w:val="20"/>
                <w:szCs w:val="20"/>
                <w:color w:val="auto"/>
              </w:rPr>
            </w:pPr>
            <w:r>
              <w:rPr>
                <w:rFonts w:ascii="Arial" w:cs="Arial" w:eastAsia="Arial" w:hAnsi="Arial"/>
                <w:sz w:val="18"/>
                <w:szCs w:val="18"/>
                <w:color w:val="auto"/>
              </w:rPr>
              <w:t>Phase 2a completed</w:t>
            </w:r>
          </w:p>
        </w:tc>
        <w:tc>
          <w:tcPr>
            <w:tcW w:w="3580" w:type="dxa"/>
            <w:vAlign w:val="bottom"/>
          </w:tcPr>
          <w:p>
            <w:pPr>
              <w:spacing w:after="0"/>
              <w:rPr>
                <w:sz w:val="20"/>
                <w:szCs w:val="20"/>
                <w:color w:val="auto"/>
              </w:rPr>
            </w:pPr>
            <w:r>
              <w:rPr>
                <w:rFonts w:ascii="Arial" w:cs="Arial" w:eastAsia="Arial" w:hAnsi="Arial"/>
                <w:sz w:val="18"/>
                <w:szCs w:val="18"/>
                <w:color w:val="auto"/>
                <w:w w:val="88"/>
              </w:rPr>
              <w:t>Phase 2a successfully completed; results reported</w:t>
            </w:r>
          </w:p>
        </w:tc>
      </w:tr>
      <w:tr>
        <w:trPr>
          <w:trHeight w:val="230"/>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Q3 2015</w:t>
            </w:r>
          </w:p>
        </w:tc>
      </w:tr>
      <w:tr>
        <w:trPr>
          <w:trHeight w:val="242"/>
        </w:trPr>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PK/PD study head to head with Natpara in</w:t>
            </w:r>
          </w:p>
        </w:tc>
      </w:tr>
      <w:tr>
        <w:trPr>
          <w:trHeight w:val="230"/>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6"/>
              </w:rPr>
              <w:t>hypoparathyroid patients expected in H2 2018</w:t>
            </w:r>
          </w:p>
        </w:tc>
      </w:tr>
      <w:tr>
        <w:trPr>
          <w:trHeight w:val="365"/>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EB613</w:t>
            </w:r>
          </w:p>
        </w:tc>
        <w:tc>
          <w:tcPr>
            <w:tcW w:w="2480" w:type="dxa"/>
            <w:vAlign w:val="bottom"/>
            <w:gridSpan w:val="2"/>
          </w:tcPr>
          <w:p>
            <w:pPr>
              <w:spacing w:after="0"/>
              <w:rPr>
                <w:sz w:val="20"/>
                <w:szCs w:val="20"/>
                <w:color w:val="auto"/>
              </w:rPr>
            </w:pPr>
            <w:r>
              <w:rPr>
                <w:rFonts w:ascii="Arial" w:cs="Arial" w:eastAsia="Arial" w:hAnsi="Arial"/>
                <w:sz w:val="18"/>
                <w:szCs w:val="18"/>
                <w:color w:val="auto"/>
              </w:rPr>
              <w:t>Osteoporosis</w:t>
            </w:r>
          </w:p>
        </w:tc>
        <w:tc>
          <w:tcPr>
            <w:tcW w:w="1780" w:type="dxa"/>
            <w:vAlign w:val="bottom"/>
            <w:gridSpan w:val="2"/>
          </w:tcPr>
          <w:p>
            <w:pPr>
              <w:spacing w:after="0"/>
              <w:rPr>
                <w:sz w:val="20"/>
                <w:szCs w:val="20"/>
                <w:color w:val="auto"/>
              </w:rPr>
            </w:pPr>
            <w:r>
              <w:rPr>
                <w:rFonts w:ascii="Arial" w:cs="Arial" w:eastAsia="Arial" w:hAnsi="Arial"/>
                <w:sz w:val="18"/>
                <w:szCs w:val="18"/>
                <w:color w:val="auto"/>
              </w:rPr>
              <w:t>Oral PTH (1-34)</w:t>
            </w:r>
          </w:p>
        </w:tc>
        <w:tc>
          <w:tcPr>
            <w:tcW w:w="1760" w:type="dxa"/>
            <w:vAlign w:val="bottom"/>
            <w:gridSpan w:val="2"/>
          </w:tcPr>
          <w:p>
            <w:pPr>
              <w:spacing w:after="0"/>
              <w:rPr>
                <w:sz w:val="20"/>
                <w:szCs w:val="20"/>
                <w:color w:val="auto"/>
              </w:rPr>
            </w:pPr>
            <w:r>
              <w:rPr>
                <w:rFonts w:ascii="Arial" w:cs="Arial" w:eastAsia="Arial" w:hAnsi="Arial"/>
                <w:sz w:val="18"/>
                <w:szCs w:val="18"/>
                <w:color w:val="auto"/>
              </w:rPr>
              <w:t>Phase 1</w:t>
            </w:r>
          </w:p>
        </w:tc>
        <w:tc>
          <w:tcPr>
            <w:tcW w:w="3580" w:type="dxa"/>
            <w:vAlign w:val="bottom"/>
          </w:tcPr>
          <w:p>
            <w:pPr>
              <w:spacing w:after="0"/>
              <w:rPr>
                <w:sz w:val="20"/>
                <w:szCs w:val="20"/>
                <w:color w:val="auto"/>
              </w:rPr>
            </w:pPr>
            <w:r>
              <w:rPr>
                <w:rFonts w:ascii="Arial" w:cs="Arial" w:eastAsia="Arial" w:hAnsi="Arial"/>
                <w:sz w:val="18"/>
                <w:szCs w:val="18"/>
                <w:color w:val="auto"/>
              </w:rPr>
              <w:t>Pre-IND submission expected H2 2018</w:t>
            </w:r>
          </w:p>
        </w:tc>
      </w:tr>
      <w:tr>
        <w:trPr>
          <w:trHeight w:val="257"/>
        </w:trPr>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Phase 2a initiation expected 2019</w:t>
            </w:r>
          </w:p>
        </w:tc>
      </w:tr>
    </w:tbl>
    <w:p>
      <w:pPr>
        <w:spacing w:after="0" w:line="35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Oral PTH Therapeutics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recently been approved for the treatment of hypoparathyroidism. We are developing a number of oral PTH (1-34) tablet programs that can be used for a number of proposed indications. We believe that our oral PTH product candidates, if approved, have the potential to become the standard of care for patients with hypoparathyroidism, osteoporosis and non-union fractures.</w:t>
      </w:r>
    </w:p>
    <w:p>
      <w:pPr>
        <w:spacing w:after="0" w:line="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PTH regulates calcium and phosphate homeostasis and bone metabolism in the body. In normal healthy individuals, PTH is generally produced at a very low basal level of 15 – 25 pg/ml (pg = 10-12 g). On top of the basal PTH levels, there are physiological pulses two to three times per day presented as transient increases in PTH levels reaching up to 35 pg/ml. While the basal level helps maintain calcium and phosphate homeostasis, the pulses help encourage bone turnover through activation of both osteoblasts and osteoclasts, the two main types of cells that are responsible for the process through which bones are constantly being remodeled. Absent these pulses, it is difficult for the body to regulate normal homeostatic processes.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EB612 for Hypoparathyroidism</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Hypoparathyroidism</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focused on the development of oral PTH (1-34) for hypoparathyroidism, which, if approved, we believe has the potential to become the standard of care for hypoparathyroidism. Hypoparathyroidism is a rare condition in which the parathyroid glands fail to produce sufficient amounts of PTH or the PTH produced lacks biologic activity. 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Numbness and tingling around the mouth and in the fingers and toes can also occur. Acute hypocalcemia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can result in cardiac failure, failure of nervous system functions and death. Hyperphosphatemia can result in soft tissue calcium deposition, which may lead to severe issues, including damage to the circulatory system and central nervous system. The most common cause of hypoparathyroidism is damage to, or removal of, the parathyroid glands due to surgery for another condition. Hypoparathyroidism can also be caused by an autoimmune process, or idiopathic reasons or occur in association with a number of different underlying disorders. In rare cases, hypoparathyroidism may occur as a genetic disorder.</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 The FDA has granted orphan drug designation to our oral PTH for the treatment of hypoparathyroidism.</w:t>
      </w:r>
    </w:p>
    <w:p>
      <w:pPr>
        <w:spacing w:after="0" w:line="8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Historically, the treatments for hypoparathyroidism have been calcium supplements, vitamin D supplements and phosphate binders. Although calcium and vitamin D can help alleviate hypocalcemia, their chronic use results in many serious side effects with significant costs to the healthcare system. Hypoparathyroid patients often need to take large doses of calcium throughout the day in order to maintain calcium homeostasis in the serum, or blood plasma, throughout the day for normal body functioning. It then falls upon the kidneys to dispose of excess calcium and maintain precise control of serum calcium levels. Over potentially years of treatment, kidney stones may develop, and ultimately kidney failure may occur. Even with the use of calcium and vitamin D supplements and other medications, the majority of patients with hypoparathyroidism continue to experience multiple severe physical and cognitive symptoms.</w:t>
      </w:r>
    </w:p>
    <w:p>
      <w:pPr>
        <w:spacing w:after="0" w:line="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Until recently, hypoparathyroidism was the only hormonal insufficiency state that did not have an approved hormone replacement therapy. NPS Pharmaceuticals, Inc., a biopharmaceutical company that was acquired by Shire plc in February 2015, developed Natpara, a recombinant form of human PTH (1-84), as an injectable hormone replacement therapy for the underlying cause of hypoparathyroidism, lack of PTH. Natpara is administered once daily with a pre-set injection pen. Natpara was approved by the FDA in January 2015 launched commercially in the United States later in 2015.</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2014, an advisory committee of the FDA reviewed the Natpara BLA. This advisory committee review of Natpara highlighted a number of observations. In its briefing to the advisory committee, the FDA noted that Natpara had limited clinical benefit in controlling excessive calcium in the urine, or hypercalciuria, a condition commonly associated with hypoparathyroidism and the most commonly identifiable cause of calcium kidney stone disease. Additional analysis by the FDA also noted that, due to a change in trial protocol that was made after the initiation of the trial, the responder rate for the pivotal single-dose trial’s primary efficacy endpoint was 32.1% under the original trial protocol versus the 54.8% that was ultimately reported. The FDA stated in its briefing report that the results of this alternate analysis may be more clinically relevant, particularly if a clinician’s goal is to keep a patient’s serum calcium in the lower half of the normal range.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believe EB612 is differentiated from Natpara for the following reasons:</w:t>
      </w:r>
    </w:p>
    <w:p>
      <w:pPr>
        <w:spacing w:after="0" w:line="198" w:lineRule="exact"/>
        <w:rPr>
          <w:sz w:val="20"/>
          <w:szCs w:val="20"/>
          <w:color w:val="auto"/>
        </w:rPr>
      </w:pPr>
    </w:p>
    <w:p>
      <w:pPr>
        <w:ind w:left="720" w:right="620" w:hanging="352"/>
        <w:spacing w:after="0" w:line="25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EB612 is designed to be dosed multiple times a day</w:t>
      </w:r>
      <w:r>
        <w:rPr>
          <w:rFonts w:ascii="Arial" w:cs="Arial" w:eastAsia="Arial" w:hAnsi="Arial"/>
          <w:sz w:val="18"/>
          <w:szCs w:val="18"/>
          <w:color w:val="auto"/>
        </w:rPr>
        <w:t>. Studies performed by the NIH have shown that dosing PTH multiple times per day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w:t>
      </w:r>
    </w:p>
    <w:p>
      <w:pPr>
        <w:spacing w:after="0" w:line="147" w:lineRule="exact"/>
        <w:rPr>
          <w:rFonts w:ascii="Arial" w:cs="Arial" w:eastAsia="Arial" w:hAnsi="Arial"/>
          <w:sz w:val="18"/>
          <w:szCs w:val="18"/>
          <w:color w:val="auto"/>
        </w:rPr>
      </w:pPr>
    </w:p>
    <w:p>
      <w:pPr>
        <w:ind w:left="720" w:right="660" w:hanging="352"/>
        <w:spacing w:after="0" w:line="264"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EB612 is designed to be dosed according to patient needs</w:t>
      </w:r>
      <w:r>
        <w:rPr>
          <w:rFonts w:ascii="Arial" w:cs="Arial" w:eastAsia="Arial" w:hAnsi="Arial"/>
          <w:sz w:val="18"/>
          <w:szCs w:val="18"/>
          <w:color w:val="auto"/>
        </w:rPr>
        <w:t>. The hypoparathyroid population is heterogeneous and patients have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responsiveness to PTH. Therefore, the ability to customize PTH dosing throughout the day with an oral tablet is an advantage over a once-daily preset injection pen.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560" w:hanging="352"/>
        <w:spacing w:after="0" w:line="276" w:lineRule="auto"/>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EB612 is expected to have less adverse events of hypercalcemia</w:t>
      </w:r>
      <w:r>
        <w:rPr>
          <w:rFonts w:ascii="Arial" w:cs="Arial" w:eastAsia="Arial" w:hAnsi="Arial"/>
          <w:sz w:val="17"/>
          <w:szCs w:val="17"/>
          <w:color w:val="auto"/>
        </w:rPr>
        <w:t>. Our planned treatment regimen would be increased gradually and in</w:t>
      </w:r>
      <w:r>
        <w:rPr>
          <w:rFonts w:ascii="Arial" w:cs="Arial" w:eastAsia="Arial" w:hAnsi="Arial"/>
          <w:sz w:val="17"/>
          <w:szCs w:val="17"/>
          <w:i w:val="1"/>
          <w:iCs w:val="1"/>
          <w:color w:val="auto"/>
        </w:rPr>
        <w:t xml:space="preserve"> </w:t>
      </w:r>
      <w:r>
        <w:rPr>
          <w:rFonts w:ascii="Arial" w:cs="Arial" w:eastAsia="Arial" w:hAnsi="Arial"/>
          <w:sz w:val="17"/>
          <w:szCs w:val="17"/>
          <w:color w:val="auto"/>
        </w:rPr>
        <w:t>parallel as serum calcium increases slightly. As a result, calcium and vitamin D supplements would be reduced gradually, while maintaining a relatively stable level of serum calcium. This is in contrast with Natpara’s initial high dose, which requires an immediate reduction in supplements in anticipation of a rapid increase in serum calcium levels. Furthermore, this immediate and prolonged increase in serum calcium increases risk of prolonged hypercalcemia compared to EB612.</w:t>
      </w:r>
    </w:p>
    <w:p>
      <w:pPr>
        <w:spacing w:after="0" w:line="132" w:lineRule="exact"/>
        <w:rPr>
          <w:rFonts w:ascii="Arial" w:cs="Arial" w:eastAsia="Arial" w:hAnsi="Arial"/>
          <w:sz w:val="17"/>
          <w:szCs w:val="17"/>
          <w:color w:val="auto"/>
        </w:rPr>
      </w:pPr>
    </w:p>
    <w:p>
      <w:pPr>
        <w:ind w:left="720" w:right="720" w:hanging="352"/>
        <w:spacing w:after="0" w:line="26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EB612 can be administered in a more convenient manner</w:t>
      </w:r>
      <w:r>
        <w:rPr>
          <w:rFonts w:ascii="Arial" w:cs="Arial" w:eastAsia="Arial" w:hAnsi="Arial"/>
          <w:sz w:val="18"/>
          <w:szCs w:val="18"/>
          <w:color w:val="auto"/>
        </w:rPr>
        <w:t>. Natpara must be stored under restrictive conditions (refrigeration requiring no</w:t>
      </w:r>
      <w:r>
        <w:rPr>
          <w:rFonts w:ascii="Arial" w:cs="Arial" w:eastAsia="Arial" w:hAnsi="Arial"/>
          <w:sz w:val="18"/>
          <w:szCs w:val="18"/>
          <w:i w:val="1"/>
          <w:iCs w:val="1"/>
          <w:color w:val="auto"/>
        </w:rPr>
        <w:t xml:space="preserve"> </w:t>
      </w:r>
      <w:r>
        <w:rPr>
          <w:rFonts w:ascii="Arial" w:cs="Arial" w:eastAsia="Arial" w:hAnsi="Arial"/>
          <w:sz w:val="18"/>
          <w:szCs w:val="18"/>
          <w:color w:val="auto"/>
        </w:rPr>
        <w:t>freezing and no shaking), and a multiple step preparation must be performed every two weeks. EB612 will not require such additional preparations and will have no significant storage restrictions, except potentially for refrigeration.</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EB612, if approved, could be administered several times a day in customized doses and could therefore more specifically regulate calcium and phosphate levels throughout the day without the side effects associated with a highly concentrated once-daily injection. We believe this would alleviate the symptoms of hypoparathyroidism while reducing the need for calcium and vitamin D supplements, thus also lessening the side effects of supplement treatment. As a result of its dose flexibility and the greater patient acceptance of oral formulations, we believe EB612, if approved, will address a larger segment of the hypoparathyroid population than Natpara. For these reasons, we believe that EB612, if approved, has the potential to become the standard of care for hypoparathyroidism.</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Overview of EB612</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lead product candidate, EB612, is an oral formulation of PTH (1-34). To date, no oral PTH formulation has been successfully developed because PTH, like many other hormonally active peptides, degrades rapidly in the intestinal tract when taken orally. EB612 is a synthetic form of the first 34 amino acids of human PTH to which we have applied our proprietary technology for the oral delivery of large molecule therapeutics. This technology permits oral administration, enabling more frequent dosing throughout the day and greater sensitivity and flexibility in dosing than injectable formulations of PTH. The carrier molecule and selection of protease inhibitors that are used in our technology are well-characterized and have been used in large clinical trials. We have attempted to optimize EB612 to enable the most cost effective and safe formulation while maintaining the required effect. These components, when used separately, have been shown to be safe in doses significantly higher than those used in the clinical trials for our current product candidates.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Our oral PTH (1-34) also displayed positive PK profiles and PD properties, in particular compared to commercially available injectable PTH (1-34) (Forteo).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clinical development of EB612 to date: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conducted a Phase 1a clinical trial with multiple formulations of our oral PTH to evaluate safety and collect bioavailability, PK and PD data in 42 healthy volunteers.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conducted an extended Phase 1b clinical trial in an additional 30 subjects to test a variety of manufacturing technologies with multiple formulations, administration parameters and dosing regimens of our oral PTH.</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completed a Phase 2a trial. The end points in the trial were met, and 17 subjects completed the four-month trial and reported no confirmed related serious or significant adverse events as defined by the study protocol.</w:t>
      </w:r>
    </w:p>
    <w:p>
      <w:pPr>
        <w:spacing w:after="0" w:line="6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Throughout the above clinical trials, various formulations were evaluated to achieve an optimal formulation with minimal variability and maximal bioavailability. The various formulations were based on the same basic components and presented a similar pharmacokinetic profile. We believe that the optimal formulation is more likely to attain regulatory approval.</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EB612 will have inherent advantages compared to injectable forms, including convenience of application, that no special preparation is required and that it can be stored under convenient storage conditions (room temperature or refrigeration for long term storage). Additionally, based on the results of</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Phase 2a Clinical Trial</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2015, we successfully completed a Phase 2a clinical trial of EB612 in hypoparathyroidism patients. The end points in the trial were met, and 17 subjects completed the four-month trial and reported no related serious adverse events.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we have not conducted direct head-to-head studies comparing EB612 to Natpara, based on a review of the clinical data presented in Natpara’s REPLACE study and our Phase 2a results, we believe EB612 potentially provides a more favorable therapy for hypoparathyroidism patients. Although our Phase 2a study involved a smaller number of subjects (N=17 vs. N=84 + 40 placebo), lasted for a shorter duration (four months vs. six months) and did not include an optimization period of ~2 – 16 weeks prior to treatment initiation, our results showed a greater absolute reduction in calcium supplements (1278 ±880mg vs. 1152 ±1219mg) while the patients’ albumin adjusted serum calcium increased slightly as opposed to a slight decrease in the REPLACE study (baseline vs. end of treatment). In addition, serum phosphate levels were significantly reduced into their normal range an hour after the first study drug was taken (11% reduction, p&lt;0.01), and lower serum phosphate levels were maintained for the duration of the study and until the final treatment day (14% reduction, p&lt;0.01). Furthermore, based on our preliminary results from our Phase 2a trial, as compared to Natpara injection, we believe that EB612 may carry a lower risk of adverse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endpoints:  Calcium intake reduced while serum levels were maintained or improved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126365</wp:posOffset>
            </wp:positionV>
            <wp:extent cx="4827905" cy="24612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2790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endpoints:  decrease in phosphate levels observed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126365</wp:posOffset>
            </wp:positionV>
            <wp:extent cx="4973955" cy="25298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739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Phase 2a trial there were no confirmed related serious or significant adverse events as defined by the study protocol. There was one unrelated serious adverse event of hypercalcemia which occurred in one patient prior to the administration of the study drug for the first time. One other subject, who withdrew from the trial in the first day, complained of multiple general symptoms including nausea and pain prior to commencing the trial and experienced four adverse events (mild nausea, moderate back pain, moderate headache and moderate upper abdominal pain). These four adverse events could not be confirmed as related following the patient’s withdrawal from the study. They were recorded as ‘possibly related.’</w:t>
      </w:r>
    </w:p>
    <w:p>
      <w:pPr>
        <w:spacing w:after="0" w:line="6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Based on consultations with key opinion leaders in the hypoparathyroidism field who have reviewed our Phase 2a results and are familiar with the REPLACE study, we are planning for a Phase 2b/3 trial, designed to possibly be a pivotal study for registration. We expect that this Phase 2b/3 study, when initiated, will be designed to replicate the REPLACE study in many aspects and to achieve a significant reduction in urinary calcium. The planned primary endpoints will be a reduction in calcium intake, reduction in active vitamin D and a serum calcium level of 7.5 – 9.5 mg/dL. A key secondary endpoint, which is relevant for the subset of patients with hypercalcemia, will be a reduction in urinary calcium. Finally, other secondary endpoints include a reduction in serum phosphate.</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Phase 1b Clinical Trial</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order to continually improve our formulations and evaluate different manufacturing technologies, we undertook an extended Phase 1b clinical trial. This clinical trial was designed to emulate multiple Phase 1b clinical trials, in that it evaluated production methods, and multiple formulations and administration regimens of our oral PTH (1-34) for safety, bioavailability, PK and PD data. This open-label clinical trial was designed to compare our various oral formulations of PTH (1-34) to injectable PTH (1-34) in 30 healthy male volunteers. Each subject was administered a 20 µg dose of injectable PTH (1-34) during the first visit to establish a baseline for comparison.</w:t>
      </w:r>
    </w:p>
    <w:p>
      <w:pPr>
        <w:spacing w:after="0" w:line="8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Subsequently, different formulations of our oral PTH were administered during eight to 14 successive visits, each separated by at least a 48-hour washout period. The different formulations include modifications in PTH dose (0.5mg – 3.0mg) and ratios of PTH to excipients, as well as changes in production method and administration parameters. The primary purpose of this clinical trial is to allow us to test a variety of manufacturing technologies. As a result of this clinical trial we have been able to further optimize the formulation and achieve an increased bioavailability and reduced variability. The optimized formulation and the various formulations evaluated throughout the clinical trial were all based on the same components and within a predefined range.</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511810</wp:posOffset>
            </wp:positionV>
            <wp:extent cx="4819650" cy="1663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1965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Coefficient of</w:t>
            </w:r>
          </w:p>
        </w:tc>
      </w:tr>
      <w:tr>
        <w:trPr>
          <w:trHeight w:val="186"/>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Formulation</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Participants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Cmax (pg/ml)</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Tmax (min)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Variation (%)</w:t>
            </w:r>
          </w:p>
        </w:tc>
      </w:tr>
      <w:tr>
        <w:trPr>
          <w:trHeight w:val="26"/>
        </w:trPr>
        <w:tc>
          <w:tcPr>
            <w:tcW w:w="6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EB612 Oral PTH</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235.6 ± 36</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16.5 ± 1.2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5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Injectable PTH</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184.2 ± 26</w:t>
            </w:r>
          </w:p>
        </w:tc>
        <w:tc>
          <w:tcPr>
            <w:tcW w:w="200" w:type="dxa"/>
            <w:vAlign w:val="bottom"/>
          </w:tcPr>
          <w:p>
            <w:pPr>
              <w:spacing w:after="0"/>
              <w:rPr>
                <w:sz w:val="22"/>
                <w:szCs w:val="22"/>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16 ± 1.8</w:t>
            </w:r>
          </w:p>
        </w:tc>
        <w:tc>
          <w:tcPr>
            <w:tcW w:w="2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-334010</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-334010</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-334010</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-334010</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Low inter- and intra-patient variability observed in EB612 Phase 1b</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Phase 1a Clinical Trial</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Following proof-of-concept and safety studies in various animal models, we conducted a Phase 1a clinical trial to assess the safety and pharmacokinetic profile of our oral PTH. The clinical trial was designed as a three-stage study in 42 healthy volunteers. The first stage, in which 24 subjects participated, was blinded and placebo-controlled for the study drug and placebo, and open label for subcutaneous injection of PTH (1-34). In the second, dose-escalation stage, six new subjects were administered different formulations with modifications in PTH dose and ratios of PTH to excipients, with doses up to 1.5 mg. The various formulations evaluated throughout the clinical trial were all based on the same components and within a predefined range. In the third stage, the best formulation of our oral PTH, selected based on data from the second stage, was compared to placebo and subcutaneous injection of PTH (1-34) in 12 healthy subjects. The primary endpoint of the clinical trial was safety. Bioavailability was also evaluated, and in the second and third stages PK and PD data were also collected.</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clinical trial began in August 2011 and was completed in early 2013. This clinical trial was conducted over an extended period of time as multiple formulations of oral PTH (1-34) were tested. In typical Phase 1 clinical trials, one formulation is tested for safety and, perhaps, PK and PD profile. Therefore, the results from our Phase 1a clinical trial effectively represent the equivalent of nine separate Phase 1 clinical trials. By combining these nine clinical trials into one protocol, we were able to achieve significant economies of scale and time.</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No serious adverse events were reported in any of the 72 subjects participating in the Phase 1 clinical trials (including the Phase 1b clinical trial detailed above). In total across our Phase 1 clinical trials in which these 72 subjects received various oral PTH doses over 350 times, there were 11 expected, transient and minor drug-related adverse events associated with oral PTH administration. In our Phase 1b trial, there were minor drug-related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In addition, one subject in the Phase 1a trial experienced a drug-related musculoskeletal and connective tissue event of knee cramps.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PK and PD data indicated that our oral PTH (1-34) can successfully mimic injectable PTH (1-34)’s peak serum concentration levels after drug administration and prior to the administration of a second dose, or Cmax, as well as time to maximal concentration, or Tmax. The PK profile of the absorbed PTH (1-34) was characterized by a sharp increase in concentration, forming a peak concentration within 60 minutes post-drug administration, followed by a rapid decrease, which leads to the anabolic, or bone-building effect of PTH. In the optimized formulations the average Cmax achieved by our oral PTH (1-34) was similar to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Cmax following the subcutaneous injection of the commercial PTH (1-34) or greater. There was a significant inter-patient and intra-patient variability, which is believed to be associated with the variability of the gastric state of the volunteers and on the various treatment visit days. In later visits of the clinical trial we were able to decrease the variability through optimization of our formulation.</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Analysis of the PD profile of our oral PTH (1-34) indicated that a biomarker of PTH activity, cyclic AMP, was activated in a similar manner to that of injectable PTH (1-34) Furthermore, analysis of serum calcium indicated that an increase can be obtained by a single dose of our oral PTH (1-34) as indicated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90170</wp:posOffset>
            </wp:positionV>
            <wp:extent cx="4330700" cy="2160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3070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i w:val="1"/>
          <w:iCs w:val="1"/>
          <w:color w:val="auto"/>
        </w:rPr>
        <w:t>Change in serum concentrations of albumin corrected calcium (green line) and the plasma concentrations of PTH (1-34) (blue line) following the administration of oral PTH (1-34) (0.75mg) in ten healthy volunteers.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data effectively show that oral PTH (1-34) reaches the circulation, remains intact and has biological potency similar to that observed with injectable PTH (1-34). At present, we estimate that there are at least four million patient years’ experience with injectable PTH (1-34). We believe that reaching a similar peak plasma concentration and PD profile as with the injectable PTH (1-34) significantly decreases the risk that our oral PTH (1-34) will not have the desired clinical effect.</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graph below shows a linear dose/response relationship of oral PTH. An increase in absorption variability was observed with the dose increase in Phase 1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74295</wp:posOffset>
            </wp:positionV>
            <wp:extent cx="4142105" cy="24955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4210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Dose — response relationship of oral PTH (1-34) in healthy volunteers.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then focused our efforts, along with the increase in bioavailability, on the reduction of the variability. An optimized formulation showed an approximately three-fold increase in bioavailability (from 0.5% to about 1.5%) and two-fold decrease in variability of the maximal plasma levels of PTH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79375</wp:posOffset>
            </wp:positionV>
            <wp:extent cx="4193540" cy="2195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935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i w:val="1"/>
          <w:iCs w:val="1"/>
          <w:color w:val="auto"/>
        </w:rPr>
        <w:t>Optimization of oral PTH (1-34) product. A fixed dose of 1.5mg was administered using different formulations (N= 9-10). Along with the significant increase in bioavailability (blue bars) the variability (green line) of the maximal plasma levels was markedly decreased.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Preclinical and Clinical Development of EB612</w:t>
      </w:r>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preclinical, Phase 1 and Phase 2 clinical development, EB612 exhibited no serious related adverse events and displayed compelling PK and PD properties, in particular compared to commercially available injectable PTH (1-84) Natpara and PTH (1-34) (Forteo). There were no related serious or significant adverse events reported in earlier trials; however, in our Phase 2a trial, there was one unrelated serious adverse event of hypercalcemia which occurred in one patient prior to the administration of the study drug for the first time. There was also one unrelated serious adverse event of hypercalcemia which occurred in one patient prior to the administration of the study drug for the first time. One subject in the Phase 2a trial, who withdrew from the trial after the first day, complained of multiple general symptoms including nausea and pain prior to commencing the trial and experienced four adverse events (mild nausea, moderate back pain, moderate headache and moderate upper abdominal pain) on the first day. These four adverse events could not be confirmed as related following the patient’s withdrawal from the study. They were recorded as ‘possibly related.’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 We have refined our formulation of EB612 and tested the new formulation in a Phase 2a clinical trial in hypoparathyroid patients. In a triple cohort Phase 1b study, we continued to further optimize our production methods and formulation of EB612 following the Phase 2a and in anticipation of a larger Phase 2b that we expect will result in further improvements and reduction in the variability. These improvements were based on the same basic components and present a similar pharmacokinetic profile. We believe that the optimal formulation is more likely to attain regulatory approval. Once EB612 enters a Phase 2b/3 clinical trial, no further optimization would be done.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Planned Additional Clinical Development and Regulatory Pathway</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regulatory pathway to conducting the Phase 2b/3 and based on initial feedback from the FDA and regulatory consultants, we intend to conduct a short PK/PD study comparing various dose regimens with Natpara. This PK/PD study will include 16 to 20 hypoparathyroidism patients for a treatment and monitoring duration of around 60 hours per treatment arm. This study is designed to provide a bridge from our completed Phase 2a trial, which was conducted prior to the marketing approval of Natpara and our planned Phase 2b/3 study and will allow us to better understand the relative strength and dose of our product as compared to the marketed product, Natpara. This study may also provide valuable “head to head” data that will further inform our Phase 2b/3 study design. The relevant endpoints for the PK/PD study will include levels of PTH (1-34), PTH (1-84) (Natpara), serum calcium, serum phosphate, urinary calcium and urinary phosphate.</w:t>
      </w:r>
    </w:p>
    <w:p>
      <w:pPr>
        <w:spacing w:after="0" w:line="8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April 2014, we received orphan drug designation from the FDA for our oral PTH in hypoparathyroidism. If a product receives the first FDA approval for the indication for which it has orphan designation, the product is entitled to orphan drug exclusivity, which means that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January 2015, the FDA approved Natpara, an injectable form of PTH, for hypoparathyroidism, and awarded Natpara orphan drug exclusivity until January 23, 2022. While Natpara has orphan drug exclusivity for hypoparathyroidism, we believe that we will be able to demonstrate that our oral formulation of PTH is clinically superior to Natpara in that it demonstrates greater effectiveness or safety than Natpara or that it otherwise makes a major contribution to patient care. Therefore, we believe that Natpara’s orphan drug exclusivity will not prevent the FDA from approving our BLA for EB612 prior to the expiration of Natpara’s exclusivity period. In June 2016, we received approval from the European Commission granting orphan status to our oral PTH in Europe.</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EB613 for Osteoporosis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Osteoporosis</w:t>
      </w:r>
    </w:p>
    <w:p>
      <w:pPr>
        <w:spacing w:after="0" w:line="10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also developing an additional oral PTH program, EB613, for the treatment of osteoporosis. Osteoporosis is a systemic skeletal disease characterized by low bone mass, deterioration of bone tissue and increased bone fragility and susceptibility to fracture. It most commonly affects older populations, primarily postmenopausal women. All bones are subject to an ongoing process of formation and degradation, whereby bone tissue is removed from the skeleton and new bone tissue is formed. Two main types of cells are responsible for this process: osteoclasts, which break down bone tissue, and osteoblasts, which secrete new bone tissue. Osteoporosis develops as the delicate balance between bone resorption by osteoclasts and bone formation by osteoblasts is not maintained, and not enough bone tissue is formed, leading to frail and fracture-prone bones. These weak and brittle bones become susceptible to fractures caused by fall, mild stress or even a cough. The condition can even be fatal, as 25% of those who fracture a hip will die within six months of injury.</w:t>
      </w:r>
    </w:p>
    <w:p>
      <w:pPr>
        <w:spacing w:after="0" w:line="5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from the use of drugs that induce bone loss, such as chronic use of glucocorticoids and aromatase inhibitors that are increasingly used for breast cancer and the hormone therapies used for prostate cancer.</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NOF has estimated that 10 million people in the United States already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goal of pharmacological treatment of osteoporosis is to maintain or increase bone strength, to prevent factures throughout the patient’s life and to minimize osteoporosis-related morbidity and mortality by reducing the risk of fracture. Current treatments for osteoporosis generally fall into two categories: antiresorptive medications to slow bone loss and anabolic medications to increase the rate of bone formation. The global osteoporosis drug market was dominated for many years by bisphosphonates, which slow bone loss, although bisphosphonates’ market share has declined over recent years due to the occurrence of serious side effects, as well as the introduction of newly developed pharmacological treatments.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primary current treatments for osteoporosis are summarized in the table below:</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Name</w:t>
            </w:r>
          </w:p>
        </w:tc>
        <w:tc>
          <w:tcPr>
            <w:tcW w:w="3100" w:type="dxa"/>
            <w:vAlign w:val="bottom"/>
          </w:tcPr>
          <w:p>
            <w:pPr>
              <w:spacing w:after="0"/>
              <w:rPr>
                <w:sz w:val="14"/>
                <w:szCs w:val="14"/>
                <w:color w:val="auto"/>
              </w:rPr>
            </w:pPr>
          </w:p>
        </w:tc>
      </w:tr>
      <w:tr>
        <w:trPr>
          <w:trHeight w:val="186"/>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Class of Drug</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(Producer)</w:t>
            </w:r>
          </w:p>
        </w:tc>
        <w:tc>
          <w:tcPr>
            <w:tcW w:w="3100" w:type="dxa"/>
            <w:vAlign w:val="bottom"/>
          </w:tcPr>
          <w:p>
            <w:pPr>
              <w:ind w:left="1000"/>
              <w:spacing w:after="0"/>
              <w:rPr>
                <w:sz w:val="20"/>
                <w:szCs w:val="20"/>
                <w:color w:val="auto"/>
              </w:rPr>
            </w:pPr>
            <w:r>
              <w:rPr>
                <w:rFonts w:ascii="Arial" w:cs="Arial" w:eastAsia="Arial" w:hAnsi="Arial"/>
                <w:sz w:val="14"/>
                <w:szCs w:val="14"/>
                <w:b w:val="1"/>
                <w:bCs w:val="1"/>
                <w:color w:val="auto"/>
              </w:rPr>
              <w:t>Method of Action</w:t>
            </w:r>
          </w:p>
        </w:tc>
      </w:tr>
      <w:tr>
        <w:trPr>
          <w:trHeight w:val="26"/>
        </w:trPr>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22"/>
        </w:trPr>
        <w:tc>
          <w:tcPr>
            <w:tcW w:w="2240" w:type="dxa"/>
            <w:vAlign w:val="bottom"/>
            <w:gridSpan w:val="2"/>
          </w:tcPr>
          <w:p>
            <w:pPr>
              <w:spacing w:after="0"/>
              <w:rPr>
                <w:sz w:val="20"/>
                <w:szCs w:val="20"/>
                <w:color w:val="auto"/>
              </w:rPr>
            </w:pPr>
            <w:r>
              <w:rPr>
                <w:rFonts w:ascii="Arial" w:cs="Arial" w:eastAsia="Arial" w:hAnsi="Arial"/>
                <w:sz w:val="18"/>
                <w:szCs w:val="18"/>
                <w:color w:val="auto"/>
              </w:rPr>
              <w:t>Injectable PTH</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Forteo (Eli</w:t>
            </w:r>
          </w:p>
        </w:tc>
        <w:tc>
          <w:tcPr>
            <w:tcW w:w="3100" w:type="dxa"/>
            <w:vAlign w:val="bottom"/>
          </w:tcPr>
          <w:p>
            <w:pPr>
              <w:spacing w:after="0"/>
              <w:rPr>
                <w:sz w:val="20"/>
                <w:szCs w:val="20"/>
                <w:color w:val="auto"/>
              </w:rPr>
            </w:pPr>
            <w:r>
              <w:rPr>
                <w:rFonts w:ascii="Arial" w:cs="Arial" w:eastAsia="Arial" w:hAnsi="Arial"/>
                <w:sz w:val="18"/>
                <w:szCs w:val="18"/>
                <w:color w:val="auto"/>
              </w:rPr>
              <w:t>Increases bone mineral density by</w:t>
            </w: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Lilly)</w:t>
            </w:r>
          </w:p>
        </w:tc>
        <w:tc>
          <w:tcPr>
            <w:tcW w:w="3100" w:type="dxa"/>
            <w:vAlign w:val="bottom"/>
          </w:tcPr>
          <w:p>
            <w:pPr>
              <w:spacing w:after="0"/>
              <w:rPr>
                <w:sz w:val="20"/>
                <w:szCs w:val="20"/>
                <w:color w:val="auto"/>
              </w:rPr>
            </w:pPr>
            <w:r>
              <w:rPr>
                <w:rFonts w:ascii="Arial" w:cs="Arial" w:eastAsia="Arial" w:hAnsi="Arial"/>
                <w:sz w:val="18"/>
                <w:szCs w:val="18"/>
                <w:color w:val="auto"/>
                <w:w w:val="91"/>
              </w:rPr>
              <w:t>inhibiting the resorption of bone, promotes</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new bone formation</w:t>
            </w: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Branded</w:t>
            </w:r>
          </w:p>
        </w:tc>
      </w:t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1"/>
              </w:rPr>
              <w:t>Sales</w:t>
            </w:r>
          </w:p>
        </w:tc>
      </w:tr>
      <w:tr>
        <w:trPr>
          <w:trHeight w:val="186"/>
        </w:trPr>
        <w:tc>
          <w:tcPr>
            <w:tcW w:w="3340" w:type="dxa"/>
            <w:vAlign w:val="bottom"/>
            <w:gridSpan w:val="2"/>
          </w:tcPr>
          <w:p>
            <w:pPr>
              <w:ind w:left="960"/>
              <w:spacing w:after="0"/>
              <w:rPr>
                <w:sz w:val="20"/>
                <w:szCs w:val="20"/>
                <w:color w:val="auto"/>
              </w:rPr>
            </w:pPr>
            <w:r>
              <w:rPr>
                <w:rFonts w:ascii="Arial" w:cs="Arial" w:eastAsia="Arial" w:hAnsi="Arial"/>
                <w:sz w:val="14"/>
                <w:szCs w:val="14"/>
                <w:b w:val="1"/>
                <w:bCs w:val="1"/>
                <w:color w:val="auto"/>
              </w:rPr>
              <w:t>Known Side Effects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6"/>
        </w:trPr>
        <w:tc>
          <w:tcPr>
            <w:tcW w:w="3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Decrease in blood pressure, increase in</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$1,500</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serum calcium in the blood; nausea, joint</w:t>
            </w:r>
          </w:p>
        </w:tc>
        <w:tc>
          <w:tcPr>
            <w:tcW w:w="122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aches, pain, leg cramps, injection site</w:t>
            </w:r>
          </w:p>
        </w:tc>
        <w:tc>
          <w:tcPr>
            <w:tcW w:w="1220" w:type="dxa"/>
            <w:vAlign w:val="bottom"/>
          </w:tcPr>
          <w:p>
            <w:pPr>
              <w:spacing w:after="0"/>
              <w:rPr>
                <w:sz w:val="18"/>
                <w:szCs w:val="18"/>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reactions</w:t>
            </w:r>
          </w:p>
        </w:tc>
        <w:tc>
          <w:tcPr>
            <w:tcW w:w="1220" w:type="dxa"/>
            <w:vAlign w:val="bottom"/>
          </w:tcPr>
          <w:p>
            <w:pPr>
              <w:spacing w:after="0"/>
              <w:rPr>
                <w:sz w:val="20"/>
                <w:szCs w:val="20"/>
                <w:color w:val="auto"/>
              </w:rPr>
            </w:pPr>
          </w:p>
        </w:tc>
      </w:tr>
    </w:tbl>
    <w:p>
      <w:pPr>
        <w:spacing w:after="0" w:line="134" w:lineRule="exact"/>
        <w:rPr>
          <w:sz w:val="20"/>
          <w:szCs w:val="20"/>
          <w:color w:val="auto"/>
        </w:rPr>
      </w:pPr>
    </w:p>
    <w:p>
      <w:pPr>
        <w:sectPr>
          <w:pgSz w:w="11900" w:h="16838" w:orient="portrait"/>
          <w:cols w:equalWidth="0" w:num="2">
            <w:col w:w="6640" w:space="220"/>
            <w:col w:w="4560"/>
          </w:cols>
          <w:pgMar w:left="240" w:top="131" w:right="239" w:bottom="1440" w:gutter="0" w:footer="0" w:header="0"/>
          <w:type w:val="continuous"/>
        </w:sectPr>
      </w:pPr>
    </w:p>
    <w:p>
      <w:pPr>
        <w:spacing w:after="0"/>
        <w:tabs>
          <w:tab w:leader="none" w:pos="2240" w:val="left"/>
          <w:tab w:leader="none" w:pos="3520" w:val="left"/>
        </w:tabs>
        <w:rPr>
          <w:sz w:val="20"/>
          <w:szCs w:val="20"/>
          <w:color w:val="auto"/>
        </w:rPr>
      </w:pPr>
      <w:r>
        <w:rPr>
          <w:rFonts w:ascii="Arial" w:cs="Arial" w:eastAsia="Arial" w:hAnsi="Arial"/>
          <w:sz w:val="18"/>
          <w:szCs w:val="18"/>
          <w:color w:val="auto"/>
        </w:rPr>
        <w:t>Monoclonal antibody</w:t>
      </w:r>
      <w:r>
        <w:rPr>
          <w:sz w:val="20"/>
          <w:szCs w:val="20"/>
          <w:color w:val="auto"/>
        </w:rPr>
        <w:tab/>
      </w:r>
      <w:r>
        <w:rPr>
          <w:rFonts w:ascii="Arial" w:cs="Arial" w:eastAsia="Arial" w:hAnsi="Arial"/>
          <w:sz w:val="18"/>
          <w:szCs w:val="18"/>
          <w:color w:val="auto"/>
        </w:rPr>
        <w:t>Prolia</w:t>
      </w:r>
      <w:r>
        <w:rPr>
          <w:sz w:val="20"/>
          <w:szCs w:val="20"/>
          <w:color w:val="auto"/>
        </w:rPr>
        <w:tab/>
      </w:r>
      <w:r>
        <w:rPr>
          <w:rFonts w:ascii="Arial" w:cs="Arial" w:eastAsia="Arial" w:hAnsi="Arial"/>
          <w:sz w:val="16"/>
          <w:szCs w:val="16"/>
          <w:color w:val="auto"/>
        </w:rPr>
        <w:t>Blocks the breakdown of bones by binding</w:t>
      </w:r>
    </w:p>
    <w:p>
      <w:pPr>
        <w:spacing w:after="0" w:line="23" w:lineRule="exact"/>
        <w:rPr>
          <w:sz w:val="20"/>
          <w:szCs w:val="20"/>
          <w:color w:val="auto"/>
        </w:rPr>
      </w:pPr>
    </w:p>
    <w:p>
      <w:pPr>
        <w:ind w:left="2260"/>
        <w:spacing w:after="0"/>
        <w:tabs>
          <w:tab w:leader="none" w:pos="3520" w:val="left"/>
        </w:tabs>
        <w:rPr>
          <w:sz w:val="20"/>
          <w:szCs w:val="20"/>
          <w:color w:val="auto"/>
        </w:rPr>
      </w:pPr>
      <w:r>
        <w:rPr>
          <w:rFonts w:ascii="Arial" w:cs="Arial" w:eastAsia="Arial" w:hAnsi="Arial"/>
          <w:sz w:val="18"/>
          <w:szCs w:val="18"/>
          <w:color w:val="auto"/>
        </w:rPr>
        <w:t>(Amgen)</w:t>
      </w:r>
      <w:r>
        <w:rPr>
          <w:sz w:val="20"/>
          <w:szCs w:val="20"/>
          <w:color w:val="auto"/>
        </w:rPr>
        <w:tab/>
      </w:r>
      <w:r>
        <w:rPr>
          <w:rFonts w:ascii="Arial" w:cs="Arial" w:eastAsia="Arial" w:hAnsi="Arial"/>
          <w:sz w:val="18"/>
          <w:szCs w:val="18"/>
          <w:color w:val="auto"/>
        </w:rPr>
        <w:t>to RANKL protein that is essential to</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activate osteoclasts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Hypocalcemia, serious infections,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$1,635</w:t>
            </w:r>
          </w:p>
        </w:tc>
      </w:tr>
    </w:tbl>
    <w:p>
      <w:pPr>
        <w:ind w:right="1480"/>
        <w:spacing w:after="0" w:line="273" w:lineRule="auto"/>
        <w:rPr>
          <w:sz w:val="20"/>
          <w:szCs w:val="20"/>
          <w:color w:val="auto"/>
        </w:rPr>
      </w:pPr>
      <w:r>
        <w:rPr>
          <w:rFonts w:ascii="Arial" w:cs="Arial" w:eastAsia="Arial" w:hAnsi="Arial"/>
          <w:sz w:val="17"/>
          <w:szCs w:val="17"/>
          <w:color w:val="auto"/>
        </w:rPr>
        <w:t>dermatologic adverse reactions, osteonecrosis of the jaw, back pain, pain in extremity, musculoskeletal pain, hypercholesterolemia, and cystitis</w:t>
      </w:r>
    </w:p>
    <w:p>
      <w:pPr>
        <w:spacing w:after="0" w:line="109" w:lineRule="exact"/>
        <w:rPr>
          <w:sz w:val="20"/>
          <w:szCs w:val="20"/>
          <w:color w:val="auto"/>
        </w:rPr>
      </w:pPr>
    </w:p>
    <w:p>
      <w:pPr>
        <w:sectPr>
          <w:pgSz w:w="11900" w:h="16838" w:orient="portrait"/>
          <w:cols w:equalWidth="0" w:num="2">
            <w:col w:w="6620" w:space="240"/>
            <w:col w:w="456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4"/>
              </w:rPr>
              <w:t>Selective estrogen receptor</w:t>
            </w:r>
          </w:p>
        </w:tc>
        <w:tc>
          <w:tcPr>
            <w:tcW w:w="1180" w:type="dxa"/>
            <w:vAlign w:val="bottom"/>
          </w:tcPr>
          <w:p>
            <w:pPr>
              <w:ind w:left="160"/>
              <w:spacing w:after="0"/>
              <w:rPr>
                <w:sz w:val="20"/>
                <w:szCs w:val="20"/>
                <w:color w:val="auto"/>
              </w:rPr>
            </w:pPr>
            <w:r>
              <w:rPr>
                <w:rFonts w:ascii="Arial" w:cs="Arial" w:eastAsia="Arial" w:hAnsi="Arial"/>
                <w:sz w:val="18"/>
                <w:szCs w:val="18"/>
                <w:color w:val="auto"/>
              </w:rPr>
              <w:t>Evista (Eli</w:t>
            </w:r>
          </w:p>
        </w:tc>
        <w:tc>
          <w:tcPr>
            <w:tcW w:w="3300" w:type="dxa"/>
            <w:vAlign w:val="bottom"/>
          </w:tcPr>
          <w:p>
            <w:pPr>
              <w:ind w:left="260"/>
              <w:spacing w:after="0"/>
              <w:rPr>
                <w:sz w:val="20"/>
                <w:szCs w:val="20"/>
                <w:color w:val="auto"/>
              </w:rPr>
            </w:pPr>
            <w:r>
              <w:rPr>
                <w:rFonts w:ascii="Arial" w:cs="Arial" w:eastAsia="Arial" w:hAnsi="Arial"/>
                <w:sz w:val="18"/>
                <w:szCs w:val="18"/>
                <w:color w:val="auto"/>
                <w:w w:val="91"/>
              </w:rPr>
              <w:t>Binds to estrogen receptors at a selective</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modulators (SERMs)</w:t>
            </w:r>
          </w:p>
        </w:tc>
        <w:tc>
          <w:tcPr>
            <w:tcW w:w="1180" w:type="dxa"/>
            <w:vAlign w:val="bottom"/>
          </w:tcPr>
          <w:p>
            <w:pPr>
              <w:ind w:left="160"/>
              <w:spacing w:after="0"/>
              <w:rPr>
                <w:sz w:val="20"/>
                <w:szCs w:val="20"/>
                <w:color w:val="auto"/>
              </w:rPr>
            </w:pPr>
            <w:r>
              <w:rPr>
                <w:rFonts w:ascii="Arial" w:cs="Arial" w:eastAsia="Arial" w:hAnsi="Arial"/>
                <w:sz w:val="18"/>
                <w:szCs w:val="18"/>
                <w:color w:val="auto"/>
              </w:rPr>
              <w:t>Lilly)</w:t>
            </w:r>
          </w:p>
        </w:tc>
        <w:tc>
          <w:tcPr>
            <w:tcW w:w="3300" w:type="dxa"/>
            <w:vAlign w:val="bottom"/>
          </w:tcPr>
          <w:p>
            <w:pPr>
              <w:ind w:left="260"/>
              <w:spacing w:after="0"/>
              <w:rPr>
                <w:sz w:val="20"/>
                <w:szCs w:val="20"/>
                <w:color w:val="auto"/>
              </w:rPr>
            </w:pPr>
            <w:r>
              <w:rPr>
                <w:rFonts w:ascii="Arial" w:cs="Arial" w:eastAsia="Arial" w:hAnsi="Arial"/>
                <w:sz w:val="18"/>
                <w:szCs w:val="18"/>
                <w:color w:val="auto"/>
              </w:rPr>
              <w:t>tissue, with an agonist effect on bone</w:t>
            </w:r>
          </w:p>
        </w:tc>
      </w:tr>
      <w:tr>
        <w:trPr>
          <w:trHeight w:val="230"/>
        </w:trPr>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tissue</w:t>
            </w:r>
          </w:p>
        </w:tc>
      </w:tr>
      <w:tr>
        <w:trPr>
          <w:trHeight w:val="566"/>
        </w:trPr>
        <w:tc>
          <w:tcPr>
            <w:tcW w:w="2100" w:type="dxa"/>
            <w:vAlign w:val="bottom"/>
          </w:tcPr>
          <w:p>
            <w:pPr>
              <w:spacing w:after="0"/>
              <w:rPr>
                <w:sz w:val="20"/>
                <w:szCs w:val="20"/>
                <w:color w:val="auto"/>
              </w:rPr>
            </w:pPr>
            <w:r>
              <w:rPr>
                <w:rFonts w:ascii="Arial" w:cs="Arial" w:eastAsia="Arial" w:hAnsi="Arial"/>
                <w:sz w:val="18"/>
                <w:szCs w:val="18"/>
                <w:color w:val="auto"/>
              </w:rPr>
              <w:t>Injectable abaloparatide</w:t>
            </w:r>
          </w:p>
        </w:tc>
        <w:tc>
          <w:tcPr>
            <w:tcW w:w="1180" w:type="dxa"/>
            <w:vAlign w:val="bottom"/>
          </w:tcPr>
          <w:p>
            <w:pPr>
              <w:ind w:left="160"/>
              <w:spacing w:after="0"/>
              <w:rPr>
                <w:sz w:val="20"/>
                <w:szCs w:val="20"/>
                <w:color w:val="auto"/>
              </w:rPr>
            </w:pPr>
            <w:r>
              <w:rPr>
                <w:rFonts w:ascii="Arial" w:cs="Arial" w:eastAsia="Arial" w:hAnsi="Arial"/>
                <w:sz w:val="18"/>
                <w:szCs w:val="18"/>
                <w:color w:val="auto"/>
              </w:rPr>
              <w:t>TYMLOS</w:t>
            </w:r>
          </w:p>
        </w:tc>
        <w:tc>
          <w:tcPr>
            <w:tcW w:w="3300" w:type="dxa"/>
            <w:vAlign w:val="bottom"/>
          </w:tcPr>
          <w:p>
            <w:pPr>
              <w:ind w:left="260"/>
              <w:spacing w:after="0"/>
              <w:rPr>
                <w:sz w:val="20"/>
                <w:szCs w:val="20"/>
                <w:color w:val="auto"/>
              </w:rPr>
            </w:pPr>
            <w:r>
              <w:rPr>
                <w:rFonts w:ascii="Arial" w:cs="Arial" w:eastAsia="Arial" w:hAnsi="Arial"/>
                <w:sz w:val="18"/>
                <w:szCs w:val="18"/>
                <w:color w:val="auto"/>
                <w:w w:val="97"/>
              </w:rPr>
              <w:t>Similar to PTH, binds to PTH receptors</w:t>
            </w:r>
          </w:p>
        </w:tc>
      </w:tr>
      <w:tr>
        <w:trPr>
          <w:trHeight w:val="216"/>
        </w:trPr>
        <w:tc>
          <w:tcPr>
            <w:tcW w:w="210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(Radius</w:t>
            </w:r>
          </w:p>
        </w:tc>
        <w:tc>
          <w:tcPr>
            <w:tcW w:w="3300" w:type="dxa"/>
            <w:vAlign w:val="bottom"/>
          </w:tcPr>
          <w:p>
            <w:pPr>
              <w:ind w:left="260"/>
              <w:spacing w:after="0"/>
              <w:rPr>
                <w:sz w:val="20"/>
                <w:szCs w:val="20"/>
                <w:color w:val="auto"/>
              </w:rPr>
            </w:pPr>
            <w:r>
              <w:rPr>
                <w:rFonts w:ascii="Arial" w:cs="Arial" w:eastAsia="Arial" w:hAnsi="Arial"/>
                <w:sz w:val="18"/>
                <w:szCs w:val="18"/>
                <w:color w:val="auto"/>
                <w:w w:val="99"/>
              </w:rPr>
              <w:t>with a higher affinity to bone formation</w:t>
            </w:r>
          </w:p>
        </w:tc>
      </w:tr>
      <w:tr>
        <w:trPr>
          <w:trHeight w:val="230"/>
        </w:trPr>
        <w:tc>
          <w:tcPr>
            <w:tcW w:w="21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Health)</w:t>
            </w:r>
          </w:p>
        </w:tc>
        <w:tc>
          <w:tcPr>
            <w:tcW w:w="3300" w:type="dxa"/>
            <w:vAlign w:val="bottom"/>
          </w:tcPr>
          <w:p>
            <w:pPr>
              <w:ind w:left="260"/>
              <w:spacing w:after="0"/>
              <w:rPr>
                <w:sz w:val="20"/>
                <w:szCs w:val="20"/>
                <w:color w:val="auto"/>
              </w:rPr>
            </w:pPr>
            <w:r>
              <w:rPr>
                <w:rFonts w:ascii="Arial" w:cs="Arial" w:eastAsia="Arial" w:hAnsi="Arial"/>
                <w:sz w:val="18"/>
                <w:szCs w:val="18"/>
                <w:color w:val="auto"/>
                <w:w w:val="89"/>
              </w:rPr>
              <w:t>receptors, increasing bone mineral density</w:t>
            </w:r>
          </w:p>
        </w:tc>
      </w:tr>
      <w:tr>
        <w:trPr>
          <w:trHeight w:val="566"/>
        </w:trPr>
        <w:tc>
          <w:tcPr>
            <w:tcW w:w="2100" w:type="dxa"/>
            <w:vAlign w:val="bottom"/>
          </w:tcPr>
          <w:p>
            <w:pPr>
              <w:spacing w:after="0"/>
              <w:rPr>
                <w:sz w:val="20"/>
                <w:szCs w:val="20"/>
                <w:color w:val="auto"/>
              </w:rPr>
            </w:pPr>
            <w:r>
              <w:rPr>
                <w:rFonts w:ascii="Arial" w:cs="Arial" w:eastAsia="Arial" w:hAnsi="Arial"/>
                <w:sz w:val="18"/>
                <w:szCs w:val="18"/>
                <w:color w:val="auto"/>
              </w:rPr>
              <w:t>Bisphosphonate</w:t>
            </w:r>
          </w:p>
        </w:tc>
        <w:tc>
          <w:tcPr>
            <w:tcW w:w="1180" w:type="dxa"/>
            <w:vAlign w:val="bottom"/>
          </w:tcPr>
          <w:p>
            <w:pPr>
              <w:ind w:left="160"/>
              <w:spacing w:after="0"/>
              <w:rPr>
                <w:sz w:val="20"/>
                <w:szCs w:val="20"/>
                <w:color w:val="auto"/>
              </w:rPr>
            </w:pPr>
            <w:r>
              <w:rPr>
                <w:rFonts w:ascii="Arial" w:cs="Arial" w:eastAsia="Arial" w:hAnsi="Arial"/>
                <w:sz w:val="18"/>
                <w:szCs w:val="18"/>
                <w:color w:val="auto"/>
              </w:rPr>
              <w:t>Fosamax</w:t>
            </w:r>
          </w:p>
        </w:tc>
        <w:tc>
          <w:tcPr>
            <w:tcW w:w="3300" w:type="dxa"/>
            <w:vAlign w:val="bottom"/>
          </w:tcPr>
          <w:p>
            <w:pPr>
              <w:ind w:left="260"/>
              <w:spacing w:after="0"/>
              <w:rPr>
                <w:sz w:val="20"/>
                <w:szCs w:val="20"/>
                <w:color w:val="auto"/>
              </w:rPr>
            </w:pPr>
            <w:r>
              <w:rPr>
                <w:rFonts w:ascii="Arial" w:cs="Arial" w:eastAsia="Arial" w:hAnsi="Arial"/>
                <w:sz w:val="18"/>
                <w:szCs w:val="18"/>
                <w:color w:val="auto"/>
                <w:w w:val="93"/>
              </w:rPr>
              <w:t>Prevent bone loss by inducing cell death</w:t>
            </w:r>
          </w:p>
        </w:tc>
      </w:tr>
      <w:tr>
        <w:trPr>
          <w:trHeight w:val="216"/>
        </w:trPr>
        <w:tc>
          <w:tcPr>
            <w:tcW w:w="210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(Merck)</w:t>
            </w:r>
          </w:p>
        </w:tc>
        <w:tc>
          <w:tcPr>
            <w:tcW w:w="3300" w:type="dxa"/>
            <w:vAlign w:val="bottom"/>
          </w:tcPr>
          <w:p>
            <w:pPr>
              <w:ind w:left="260"/>
              <w:spacing w:after="0"/>
              <w:rPr>
                <w:sz w:val="20"/>
                <w:szCs w:val="20"/>
                <w:color w:val="auto"/>
              </w:rPr>
            </w:pPr>
            <w:r>
              <w:rPr>
                <w:rFonts w:ascii="Arial" w:cs="Arial" w:eastAsia="Arial" w:hAnsi="Arial"/>
                <w:sz w:val="18"/>
                <w:szCs w:val="18"/>
                <w:color w:val="auto"/>
              </w:rPr>
              <w:t>(apoptosis) in the osteoclast cells</w:t>
            </w:r>
          </w:p>
        </w:tc>
      </w:tr>
      <w:tr>
        <w:trPr>
          <w:trHeight w:val="216"/>
        </w:trPr>
        <w:tc>
          <w:tcPr>
            <w:tcW w:w="210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Zometa</w:t>
            </w:r>
          </w:p>
        </w:tc>
        <w:tc>
          <w:tcPr>
            <w:tcW w:w="330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(Novartis)</w:t>
            </w:r>
          </w:p>
        </w:tc>
        <w:tc>
          <w:tcPr>
            <w:tcW w:w="3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Deep vein thrombosis, pulmonary</w:t>
            </w:r>
          </w:p>
        </w:tc>
        <w:tc>
          <w:tcPr>
            <w:tcW w:w="1240" w:type="dxa"/>
            <w:vAlign w:val="bottom"/>
          </w:tcPr>
          <w:p>
            <w:pPr>
              <w:jc w:val="center"/>
              <w:ind w:left="70"/>
              <w:spacing w:after="0"/>
              <w:rPr>
                <w:sz w:val="20"/>
                <w:szCs w:val="20"/>
                <w:color w:val="auto"/>
              </w:rPr>
            </w:pPr>
            <w:r>
              <w:rPr>
                <w:rFonts w:ascii="Arial" w:cs="Arial" w:eastAsia="Arial" w:hAnsi="Arial"/>
                <w:sz w:val="18"/>
                <w:szCs w:val="18"/>
                <w:color w:val="auto"/>
                <w:w w:val="89"/>
              </w:rPr>
              <w:t>$172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embolism, retinal vein thrombosis,</w:t>
            </w:r>
          </w:p>
        </w:tc>
        <w:tc>
          <w:tcPr>
            <w:tcW w:w="12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increased risk of death due to stroke,</w:t>
            </w:r>
          </w:p>
        </w:tc>
        <w:tc>
          <w:tcPr>
            <w:tcW w:w="124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w w:val="93"/>
              </w:rPr>
              <w:t>endometrial cancer, cardiovascular disease</w:t>
            </w:r>
          </w:p>
        </w:tc>
        <w:tc>
          <w:tcPr>
            <w:tcW w:w="1240" w:type="dxa"/>
            <w:vAlign w:val="bottom"/>
          </w:tcPr>
          <w:p>
            <w:pPr>
              <w:spacing w:after="0"/>
              <w:rPr>
                <w:sz w:val="20"/>
                <w:szCs w:val="20"/>
                <w:color w:val="auto"/>
              </w:rPr>
            </w:pPr>
          </w:p>
        </w:tc>
      </w:tr>
      <w:tr>
        <w:trPr>
          <w:trHeight w:val="350"/>
        </w:trPr>
        <w:tc>
          <w:tcPr>
            <w:tcW w:w="3240" w:type="dxa"/>
            <w:vAlign w:val="bottom"/>
          </w:tcPr>
          <w:p>
            <w:pPr>
              <w:spacing w:after="0"/>
              <w:rPr>
                <w:sz w:val="20"/>
                <w:szCs w:val="20"/>
                <w:color w:val="auto"/>
              </w:rPr>
            </w:pPr>
            <w:r>
              <w:rPr>
                <w:rFonts w:ascii="Arial" w:cs="Arial" w:eastAsia="Arial" w:hAnsi="Arial"/>
                <w:sz w:val="18"/>
                <w:szCs w:val="18"/>
                <w:color w:val="auto"/>
              </w:rPr>
              <w:t>Osteosarcoma, orthostatic hypotension,</w:t>
            </w:r>
          </w:p>
        </w:tc>
        <w:tc>
          <w:tcPr>
            <w:tcW w:w="1240" w:type="dxa"/>
            <w:vAlign w:val="bottom"/>
          </w:tcPr>
          <w:p>
            <w:pPr>
              <w:jc w:val="center"/>
              <w:ind w:left="90"/>
              <w:spacing w:after="0"/>
              <w:rPr>
                <w:sz w:val="20"/>
                <w:szCs w:val="20"/>
                <w:color w:val="auto"/>
              </w:rPr>
            </w:pPr>
            <w:r>
              <w:rPr>
                <w:rFonts w:ascii="Arial" w:cs="Arial" w:eastAsia="Arial" w:hAnsi="Arial"/>
                <w:sz w:val="18"/>
                <w:szCs w:val="18"/>
                <w:color w:val="auto"/>
                <w:w w:val="92"/>
              </w:rPr>
              <w:t>N/A (launched</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w w:val="98"/>
              </w:rPr>
              <w:t>hypercalcemia, hypercalciuria, dizziness,</w:t>
            </w:r>
          </w:p>
        </w:tc>
        <w:tc>
          <w:tcPr>
            <w:tcW w:w="1240" w:type="dxa"/>
            <w:vAlign w:val="bottom"/>
          </w:tcPr>
          <w:p>
            <w:pPr>
              <w:jc w:val="center"/>
              <w:ind w:left="90"/>
              <w:spacing w:after="0"/>
              <w:rPr>
                <w:sz w:val="20"/>
                <w:szCs w:val="20"/>
                <w:color w:val="auto"/>
              </w:rPr>
            </w:pPr>
            <w:r>
              <w:rPr>
                <w:rFonts w:ascii="Arial" w:cs="Arial" w:eastAsia="Arial" w:hAnsi="Arial"/>
                <w:sz w:val="18"/>
                <w:szCs w:val="18"/>
                <w:color w:val="auto"/>
                <w:w w:val="96"/>
              </w:rPr>
              <w:t>in April 2017)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nausea, headache, palpitations, fatigue,</w:t>
            </w:r>
          </w:p>
        </w:tc>
        <w:tc>
          <w:tcPr>
            <w:tcW w:w="124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upper abdominal pain and vertigo</w:t>
            </w:r>
          </w:p>
        </w:tc>
        <w:tc>
          <w:tcPr>
            <w:tcW w:w="1240" w:type="dxa"/>
            <w:vAlign w:val="bottom"/>
          </w:tcPr>
          <w:p>
            <w:pPr>
              <w:spacing w:after="0"/>
              <w:rPr>
                <w:sz w:val="20"/>
                <w:szCs w:val="20"/>
                <w:color w:val="auto"/>
              </w:rPr>
            </w:pPr>
          </w:p>
        </w:tc>
      </w:tr>
      <w:tr>
        <w:trPr>
          <w:trHeight w:val="350"/>
        </w:trPr>
        <w:tc>
          <w:tcPr>
            <w:tcW w:w="3240" w:type="dxa"/>
            <w:vAlign w:val="bottom"/>
          </w:tcPr>
          <w:p>
            <w:pPr>
              <w:spacing w:after="0"/>
              <w:rPr>
                <w:sz w:val="20"/>
                <w:szCs w:val="20"/>
                <w:color w:val="auto"/>
              </w:rPr>
            </w:pPr>
            <w:r>
              <w:rPr>
                <w:rFonts w:ascii="Arial" w:cs="Arial" w:eastAsia="Arial" w:hAnsi="Arial"/>
                <w:sz w:val="18"/>
                <w:szCs w:val="18"/>
                <w:color w:val="auto"/>
              </w:rPr>
              <w:t>Irritation of the gastrointestinal mucosa,</w:t>
            </w:r>
          </w:p>
        </w:tc>
        <w:tc>
          <w:tcPr>
            <w:tcW w:w="1240" w:type="dxa"/>
            <w:vAlign w:val="bottom"/>
          </w:tcPr>
          <w:p>
            <w:pPr>
              <w:jc w:val="center"/>
              <w:ind w:left="70"/>
              <w:spacing w:after="0"/>
              <w:rPr>
                <w:sz w:val="20"/>
                <w:szCs w:val="20"/>
                <w:color w:val="auto"/>
              </w:rPr>
            </w:pPr>
            <w:r>
              <w:rPr>
                <w:rFonts w:ascii="Arial" w:cs="Arial" w:eastAsia="Arial" w:hAnsi="Arial"/>
                <w:sz w:val="18"/>
                <w:szCs w:val="18"/>
                <w:color w:val="auto"/>
                <w:w w:val="94"/>
              </w:rPr>
              <w:t>N/A (Generic)</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hypocalcemia, severe musculoskeletal</w:t>
            </w:r>
          </w:p>
        </w:tc>
        <w:tc>
          <w:tcPr>
            <w:tcW w:w="1240" w:type="dxa"/>
            <w:vAlign w:val="bottom"/>
          </w:tcPr>
          <w:p>
            <w:pPr>
              <w:jc w:val="center"/>
              <w:ind w:left="70"/>
              <w:spacing w:after="0"/>
              <w:rPr>
                <w:sz w:val="20"/>
                <w:szCs w:val="20"/>
                <w:color w:val="auto"/>
              </w:rPr>
            </w:pPr>
            <w:r>
              <w:rPr>
                <w:rFonts w:ascii="Arial" w:cs="Arial" w:eastAsia="Arial" w:hAnsi="Arial"/>
                <w:sz w:val="18"/>
                <w:szCs w:val="18"/>
                <w:color w:val="auto"/>
                <w:w w:val="94"/>
              </w:rPr>
              <w:t>N/A (Generic)</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pain, osteonecrosis of the jaw</w:t>
            </w:r>
          </w:p>
        </w:tc>
        <w:tc>
          <w:tcPr>
            <w:tcW w:w="1240" w:type="dxa"/>
            <w:vAlign w:val="bottom"/>
          </w:tcPr>
          <w:p>
            <w:pPr>
              <w:spacing w:after="0"/>
              <w:rPr>
                <w:sz w:val="20"/>
                <w:szCs w:val="20"/>
                <w:color w:val="auto"/>
              </w:rPr>
            </w:pPr>
          </w:p>
        </w:tc>
      </w:tr>
    </w:tbl>
    <w:p>
      <w:pPr>
        <w:spacing w:after="0" w:line="416" w:lineRule="exact"/>
        <w:rPr>
          <w:sz w:val="20"/>
          <w:szCs w:val="20"/>
          <w:color w:val="auto"/>
        </w:rPr>
      </w:pPr>
    </w:p>
    <w:p>
      <w:pPr>
        <w:sectPr>
          <w:pgSz w:w="11900" w:h="16838" w:orient="portrait"/>
          <w:cols w:equalWidth="0" w:num="2">
            <w:col w:w="6580" w:space="280"/>
            <w:col w:w="4560"/>
          </w:cols>
          <w:pgMar w:left="240" w:top="131" w:right="239" w:bottom="1440" w:gutter="0" w:footer="0" w:header="0"/>
          <w:type w:val="continuous"/>
        </w:sectPr>
      </w:pPr>
    </w:p>
    <w:p>
      <w:pPr>
        <w:spacing w:after="0" w:line="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osteoporosis patients, who have normal basal levels of PTH, therapeutic administration of PTH activates osteoclasts and osteoblasts. While both types of cells are activated when PTH is administered, osteoblasts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are activated for a longer period, increasing bone formation and bone mass. Injectable PTH (1-34), in the form of Eli Lilly’s Forteo, is therefore one of the most effective osteoporosis medications on the market today and demonstrably more efficacious than bisphosphonates. A study published in the New England Journal of Medicine found that over a period of 18 months bone mineral density at the lumbar spine in a group of patients with steroid-induced osteoporosis treated with Forteo increased twice as much as that in the group treated with a form of bisphosphonate.</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Unlike our oral delivery system, Forteo is administered by injection, which has significant drawbacks. Patients may reject this treatment due to the discomfort and local irritation usually associated with a daily injectable regimen. Additionally, subcutaneous injection of PTH (1-34) has been shown to induce immunological reactions in approximately 3% of the patient population, often leading to discontinuance of therapy. We believe an oral form of PTH (1-34) would significantly improve patient and physician acceptance. Eli Lilly has attempted numerous collaborations with alternative delivery systems, including a micro needle patch system, which eventually did not reach fruition. An attempt with Zosano Pharma’s patch terminated in 2015, as did another collaboration with Transpharma, also a patch, which was terminated in 2011. In 2005 Eli Lilly attempted a nasal delivery system with Alkermes only to be terminated in 2007. While the patch technology may reduce the discomfort associated with an injection, we believe patients will prefer an oral form of PTH (1-34) over a patch form of delivery.</w:t>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Several pharmaceutical companies have previously attempted to develop an orally administered form of PTH. GlaxoSmithKline had partnered with Unigene Laboratories to develop a form of oral PTH but terminated the collaboration in 2011 following the release of Phase 2 clinical trial data, potentially due to poor control of kinetics and variability and the need for as much as 10 mg of PTH per tablet. Eli Lilly attempted to develop an oral PTH in collaboration with Emisphere, which Emisphere terminated following patent infringement claims in 2004. Emisphere then went on to develop their own oral PTH in collaboration with Novartis but suspended development in 2011 at the same time that they suspended their oral calcitonin program, which was subject to EMA safety restrictions. We believe Novartis discontinued the product for reasons that were unrelated to the product itself, and that our formulation of EB613 achieves the maximum concentration necessary for therapeutic effect with three times less active pharmaceutical ingredient, and lower variability, than that observed with Novartis’ suspended product.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also believe that our oral delivery technology is superior to other oral technologies that were and still may be in development for osteoporosis patients.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comparison and integration of available clinical trial results to date: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Company/Technology</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Molecule</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API MW (g/mole)</w:t>
            </w:r>
          </w:p>
        </w:tc>
        <w:tc>
          <w:tcPr>
            <w:tcW w:w="2000" w:type="dxa"/>
            <w:vAlign w:val="bottom"/>
          </w:tcPr>
          <w:p>
            <w:pPr>
              <w:ind w:left="440"/>
              <w:spacing w:after="0"/>
              <w:rPr>
                <w:sz w:val="20"/>
                <w:szCs w:val="20"/>
                <w:color w:val="auto"/>
              </w:rPr>
            </w:pPr>
            <w:r>
              <w:rPr>
                <w:rFonts w:ascii="Arial" w:cs="Arial" w:eastAsia="Arial" w:hAnsi="Arial"/>
                <w:sz w:val="14"/>
                <w:szCs w:val="14"/>
                <w:b w:val="1"/>
                <w:bCs w:val="1"/>
                <w:color w:val="auto"/>
              </w:rPr>
              <w:t>Bioavailability (F)</w:t>
            </w:r>
          </w:p>
        </w:tc>
      </w:tr>
      <w:tr>
        <w:trPr>
          <w:trHeight w:val="26"/>
        </w:trPr>
        <w:tc>
          <w:tcPr>
            <w:tcW w:w="5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Entera Bio</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PTH (1-34)</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4118</w:t>
            </w:r>
          </w:p>
        </w:tc>
        <w:tc>
          <w:tcPr>
            <w:tcW w:w="2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1.5%</w:t>
            </w:r>
          </w:p>
        </w:tc>
      </w:tr>
      <w:tr>
        <w:trPr>
          <w:trHeight w:val="270"/>
        </w:trPr>
        <w:tc>
          <w:tcPr>
            <w:tcW w:w="5300" w:type="dxa"/>
            <w:vAlign w:val="bottom"/>
            <w:gridSpan w:val="2"/>
          </w:tcPr>
          <w:p>
            <w:pPr>
              <w:spacing w:after="0" w:line="270" w:lineRule="exact"/>
              <w:rPr>
                <w:sz w:val="20"/>
                <w:szCs w:val="20"/>
                <w:color w:val="auto"/>
              </w:rPr>
            </w:pPr>
            <w:r>
              <w:rPr>
                <w:rFonts w:ascii="Arial" w:cs="Arial" w:eastAsia="Arial" w:hAnsi="Arial"/>
                <w:sz w:val="18"/>
                <w:szCs w:val="18"/>
                <w:b w:val="1"/>
                <w:bCs w:val="1"/>
                <w:color w:val="auto"/>
              </w:rPr>
              <w:t>Novartis/Emisphere (Eligen – CNAC)</w:t>
            </w:r>
            <w:r>
              <w:rPr>
                <w:rFonts w:ascii="Arial" w:cs="Arial" w:eastAsia="Arial" w:hAnsi="Arial"/>
                <w:sz w:val="27"/>
                <w:szCs w:val="27"/>
                <w:b w:val="1"/>
                <w:bCs w:val="1"/>
                <w:color w:val="auto"/>
                <w:vertAlign w:val="superscript"/>
              </w:rPr>
              <w:t>(1)</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PTH (1-34)</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4118</w:t>
            </w:r>
          </w:p>
        </w:tc>
        <w:tc>
          <w:tcPr>
            <w:tcW w:w="220" w:type="dxa"/>
            <w:vAlign w:val="bottom"/>
          </w:tcPr>
          <w:p>
            <w:pPr>
              <w:spacing w:after="0"/>
              <w:rPr>
                <w:sz w:val="23"/>
                <w:szCs w:val="23"/>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0.2 – 0.5%</w:t>
            </w:r>
          </w:p>
        </w:tc>
      </w:tr>
      <w:tr>
        <w:trPr>
          <w:trHeight w:val="270"/>
        </w:trPr>
        <w:tc>
          <w:tcPr>
            <w:tcW w:w="5300" w:type="dxa"/>
            <w:vAlign w:val="bottom"/>
            <w:gridSpan w:val="2"/>
          </w:tcPr>
          <w:p>
            <w:pPr>
              <w:spacing w:after="0" w:line="270" w:lineRule="exact"/>
              <w:rPr>
                <w:sz w:val="20"/>
                <w:szCs w:val="20"/>
                <w:color w:val="auto"/>
              </w:rPr>
            </w:pPr>
            <w:r>
              <w:rPr>
                <w:rFonts w:ascii="Arial" w:cs="Arial" w:eastAsia="Arial" w:hAnsi="Arial"/>
                <w:sz w:val="18"/>
                <w:szCs w:val="18"/>
                <w:b w:val="1"/>
                <w:bCs w:val="1"/>
                <w:color w:val="auto"/>
              </w:rPr>
              <w:t>Enteris Biopharma – Unigen (Peptelligence)</w:t>
            </w:r>
            <w:r>
              <w:rPr>
                <w:rFonts w:ascii="Arial" w:cs="Arial" w:eastAsia="Arial" w:hAnsi="Arial"/>
                <w:sz w:val="27"/>
                <w:szCs w:val="27"/>
                <w:b w:val="1"/>
                <w:bCs w:val="1"/>
                <w:color w:val="auto"/>
                <w:vertAlign w:val="superscript"/>
              </w:rPr>
              <w:t>(2)</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PTH (1-31)</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3719</w:t>
            </w:r>
          </w:p>
        </w:tc>
        <w:tc>
          <w:tcPr>
            <w:tcW w:w="220" w:type="dxa"/>
            <w:vAlign w:val="bottom"/>
          </w:tcPr>
          <w:p>
            <w:pPr>
              <w:spacing w:after="0"/>
              <w:rPr>
                <w:sz w:val="23"/>
                <w:szCs w:val="23"/>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0.52%</w:t>
            </w:r>
          </w:p>
        </w:tc>
      </w:tr>
      <w:tr>
        <w:trPr>
          <w:trHeight w:val="257"/>
        </w:trPr>
        <w:tc>
          <w:tcPr>
            <w:tcW w:w="5300" w:type="dxa"/>
            <w:vAlign w:val="bottom"/>
            <w:gridSpan w:val="2"/>
          </w:tcPr>
          <w:p>
            <w:pPr>
              <w:spacing w:after="0" w:line="257" w:lineRule="exact"/>
              <w:rPr>
                <w:sz w:val="20"/>
                <w:szCs w:val="20"/>
                <w:color w:val="auto"/>
              </w:rPr>
            </w:pPr>
            <w:r>
              <w:rPr>
                <w:rFonts w:ascii="Arial" w:cs="Arial" w:eastAsia="Arial" w:hAnsi="Arial"/>
                <w:sz w:val="18"/>
                <w:szCs w:val="18"/>
                <w:b w:val="1"/>
                <w:bCs w:val="1"/>
                <w:color w:val="auto"/>
              </w:rPr>
              <w:t>Multiple manufacturers</w:t>
            </w:r>
            <w:r>
              <w:rPr>
                <w:rFonts w:ascii="Arial" w:cs="Arial" w:eastAsia="Arial" w:hAnsi="Arial"/>
                <w:sz w:val="27"/>
                <w:szCs w:val="27"/>
                <w:b w:val="1"/>
                <w:bCs w:val="1"/>
                <w:color w:val="auto"/>
                <w:vertAlign w:val="superscript"/>
              </w:rPr>
              <w:t>(3)</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Desmopressin</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1069</w:t>
            </w:r>
          </w:p>
        </w:tc>
        <w:tc>
          <w:tcPr>
            <w:tcW w:w="22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0.16%</w:t>
            </w:r>
          </w:p>
        </w:tc>
      </w:tr>
      <w:tr>
        <w:trPr>
          <w:trHeight w:val="284"/>
        </w:trPr>
        <w:tc>
          <w:tcPr>
            <w:tcW w:w="5300" w:type="dxa"/>
            <w:vAlign w:val="bottom"/>
            <w:gridSpan w:val="2"/>
          </w:tcPr>
          <w:p>
            <w:pPr>
              <w:spacing w:after="0" w:line="284" w:lineRule="exact"/>
              <w:rPr>
                <w:sz w:val="20"/>
                <w:szCs w:val="20"/>
                <w:color w:val="auto"/>
              </w:rPr>
            </w:pPr>
            <w:r>
              <w:rPr>
                <w:rFonts w:ascii="Arial" w:cs="Arial" w:eastAsia="Arial" w:hAnsi="Arial"/>
                <w:sz w:val="18"/>
                <w:szCs w:val="18"/>
                <w:b w:val="1"/>
                <w:bCs w:val="1"/>
                <w:color w:val="auto"/>
              </w:rPr>
              <w:t>Chiasma (TPE)</w:t>
            </w:r>
            <w:r>
              <w:rPr>
                <w:rFonts w:ascii="Arial" w:cs="Arial" w:eastAsia="Arial" w:hAnsi="Arial"/>
                <w:sz w:val="27"/>
                <w:szCs w:val="27"/>
                <w:b w:val="1"/>
                <w:bCs w:val="1"/>
                <w:color w:val="auto"/>
                <w:vertAlign w:val="superscript"/>
              </w:rPr>
              <w:t>(4)</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Octreotide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1019 (Cyclic peptide)</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0.67%</w:t>
            </w:r>
          </w:p>
        </w:tc>
      </w:tr>
      <w:tr>
        <w:trPr>
          <w:trHeight w:val="355"/>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Proxima Concepts (AXCESS)</w:t>
            </w:r>
            <w:r>
              <w:rPr>
                <w:rFonts w:ascii="Arial" w:cs="Arial" w:eastAsia="Arial" w:hAnsi="Arial"/>
                <w:sz w:val="27"/>
                <w:szCs w:val="27"/>
                <w:b w:val="1"/>
                <w:bCs w:val="1"/>
                <w:color w:val="auto"/>
                <w:vertAlign w:val="superscript"/>
              </w:rPr>
              <w:t>(5)</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Insulin</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5733</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51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80"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Source: The single dose pharmacokinetic profile of a novel oral human parathyroid hormone formulation in healthy postmenopausal women Sibylle</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P. Hämmerle, et al. Bone. 2012 Apr;50(4):965-73. doi: 10.1016/j.bone.2012.01.009. Epub 2012 Jan 25.</w:t>
      </w:r>
    </w:p>
    <w:p>
      <w:pPr>
        <w:spacing w:after="0" w:line="170" w:lineRule="exact"/>
        <w:rPr>
          <w:rFonts w:ascii="Arial" w:cs="Arial" w:eastAsia="Arial" w:hAnsi="Arial"/>
          <w:sz w:val="17"/>
          <w:szCs w:val="17"/>
          <w:color w:val="auto"/>
        </w:rPr>
      </w:pPr>
    </w:p>
    <w:p>
      <w:pPr>
        <w:ind w:left="360" w:hanging="352"/>
        <w:spacing w:after="0"/>
        <w:tabs>
          <w:tab w:leader="none" w:pos="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Source: Pharmacokinetics of oral recombinant human parathyroid hormone rhPTH (1-31)NH2 in postmenopausal women with osteoporosis.</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Sturmer A1 et el. Clin Pharmacokinet. 2013 Nov;52(11):995-1004. doi: 10.1007/s40262-013-0083-4.</w:t>
      </w:r>
    </w:p>
    <w:p>
      <w:pPr>
        <w:spacing w:after="0" w:line="170" w:lineRule="exact"/>
        <w:rPr>
          <w:rFonts w:ascii="Arial" w:cs="Arial" w:eastAsia="Arial" w:hAnsi="Arial"/>
          <w:sz w:val="17"/>
          <w:szCs w:val="17"/>
          <w:color w:val="auto"/>
        </w:rPr>
      </w:pPr>
    </w:p>
    <w:p>
      <w:pPr>
        <w:ind w:left="360" w:right="420" w:hanging="352"/>
        <w:spacing w:after="0" w:line="277"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Public Assessment Report, Desmopressin Acetate 100 Microgram Tablet PL 24668/0177 and Desmopressin Acetate 200 Microgram Tablet PL 24668/0178. Medicines and Healthcare Products Regulatory Agency.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700" w:hanging="352"/>
        <w:spacing w:after="0" w:line="251"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Pharmacokinetic Modeling of Oral Octreotide (Octreolin™) in Healthy Volunteers and Dosing Regimen Optimization for Acromegaly Patients. Shmuel Tuvia et al. Endocrine Society’s 94</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Annual Meeting June 2012, OR29-6-OR29-6.</w:t>
      </w:r>
    </w:p>
    <w:p>
      <w:pPr>
        <w:spacing w:after="0" w:line="80" w:lineRule="exact"/>
        <w:rPr>
          <w:rFonts w:ascii="Arial" w:cs="Arial" w:eastAsia="Arial" w:hAnsi="Arial"/>
          <w:sz w:val="18"/>
          <w:szCs w:val="18"/>
          <w:color w:val="auto"/>
        </w:rPr>
      </w:pPr>
    </w:p>
    <w:p>
      <w:pPr>
        <w:ind w:left="360" w:hanging="352"/>
        <w:spacing w:after="0"/>
        <w:tabs>
          <w:tab w:leader="none" w:pos="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Source: The glucose lowering effect of an oral insulin (Capsulin) during an isoglycaemic clamp study in persons with type 2 diabetes S. D. Luzio et</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al. Diabetes Obes Metab. 2010 Jan;12(1):82-7. doi: 10.1111/ j.1463-1326.2009.01146.x. Epub 2009 Sep 25.</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Preclinical and Clinical Development of EB613</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EB613 is PTH (1-34) combined with our proprietary technology for the oral delivery of large molecule therapeutics. We are optimizing the PK profile of EB613 specifically for the treatment of osteoporosis, and we expect that our dose and formulation will be significantly modified from that of EB612. Our development combines the proven efficacy of PTH in increasing bone formation in osteoporosis patients with the additional benefit of permitting oral administration, which reduces the treatment burden on patients, leading to higher patient and physician acceptance. We believe each dose of oral PTH would trigger a Cmax peak, stimulating osteoclasts and osteoblasts, thereby increasing overall bone formation.</w:t>
      </w:r>
    </w:p>
    <w:p>
      <w:pPr>
        <w:spacing w:after="0" w:line="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preclinical and Phase 1 clinical development, EB613 exhibited no serious related adverse events and displayed compelling PK and PD properties, in particular compared to commercially available injectable PTH (1-34) (Forteo). There were no related serious or significant adverse events reported in earlier trials.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EB613: Favorable Pharmacodynamic Profile</w:t>
      </w:r>
    </w:p>
    <w:p>
      <w:pPr>
        <w:spacing w:after="0" w:line="10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Cyclic AMP, or cAMP, is a known indicator of PTH activity. It is part of the signaling pathway activated by the PTH binding to its cellular receptors. cAMP can be measured in the plasma and used as a biological marker of PTH activity. The graph below shows a similar activation profile following dosing of both commercial Forteo and EB613.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115570</wp:posOffset>
            </wp:positionV>
            <wp:extent cx="4279265" cy="14490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792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graph below shows the PK profile of a subcutaneous injection with injectable PTH (1-34), EB613 and placebo from our Phase 1 clinical trial. Both the injectable PTH (1-34) and the oral PTH (1-34) have a rapid increase in plasma concentrations followed by a fast elimination phase. This is significant for attaining the desired anabolic effect by transiently activating the biological pathways and possibly even more so with our oral PTH as its profile is sharper than the injection with a more rapid return to baseline. It is believed that the prolonged increase in PTH levels may reduce the desired anabolic effect.</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511810</wp:posOffset>
            </wp:positionV>
            <wp:extent cx="4827905" cy="2049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2790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Planned Clinical Development</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intent is to seek FDA guidance on our proposed clinical trial design as part of a Pre-IND meeting in the second half of 2018. After we receive feedback from the FDA, we intend to conduct a Phase 2a dose finding study in osteoporosis patients in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use our technology as a platform for the oral delivery of low-bioavailability therapeutics, which may include small molecules with very low absorption due to their poor permeability properties (BCS class 3 drugs), proteins and other large molecule therapeutics. We have conducted initial feasibility studies with a number of candidates, including human growth hormone, and intend to commence clinical development for our next, non-PTH, product candidate in the future.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Bone Healing/Non-union Fractures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no pharmacological treatments are available to stimulate bone healing. A number of studies suggest that PTH could be beneficial in the treatment of fractures and could thus be a potentially new treatment option for the induction of bone healing. 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 the United States, there are approximately seven million new fractures each year, with approximately 300,000 delayed union or non-union fractures.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Estimates for the average non-union treatment costs vary from approximately $25,000 to $45,000.</w:t>
      </w:r>
    </w:p>
    <w:p>
      <w:pPr>
        <w:spacing w:after="0" w:line="103"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Depending on the nature of the fracture, non-surgical solutions can include electrical stimulation or fitting external braces. Other more experimental techniques exist as well, including ultrasound stimulation, which has been approved by the FDA for treating fresh fracture since the 1990s. Unlike in osteoporosis treatment,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 pharmacological solution is not the norm for fractures. The major drawbacks of the more traditional methods are invasiveness and the risks inherent with surgery. In addition, bone grafting is associated with considerable morbidity, including chronic pain, injury to nerves and muscles and blood loss. Surgical cost is another significant concern. Experimental techniques, such as stimulation of the bone with electricity or sound show some promise for healing, but data demonstrating its effectiveness remains limited.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Entera’s Potential Solution for Non-union Fractures</w:t>
      </w:r>
    </w:p>
    <w:p>
      <w:pPr>
        <w:spacing w:after="0" w:line="10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Studies have suggested that PTH can accelerate bone healing. PTH increases the activity and number of osteoblasts, which are responsible for bone formation, making it critical for cases where bone healing is delayed.</w:t>
      </w:r>
    </w:p>
    <w:p>
      <w:pPr>
        <w:spacing w:after="0" w:line="6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intend to investigate the efficacy of EB613 for non-union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08"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are initially focused on developing an oral PTH (1-34), for the treatment of hypoparathyroidism, or EB612. We are also developing an oral PTH (1-34), with a significantly modified formulation for the treatment of osteoporosis, or EB613, and plan to also conduct clinical trials of EB613 for the treatment of non-union fractures. We are also investigating applying our oral drug delivery platform to other FDA-approved proteins or large molecule therapeutics.</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not yet established sales, marketing or product distribution operations because our product candidates are in clinical development. Prior to receiving regulatory approval for EB612, if approved, we plan to build a focused sales and marketing organization in the United States and other jurisdictions where we anticipate obtaining approval to sell EB612 once approved. We believe that we can independently commercialize EB612 with a small salesforce by targeting a relatively small prescriber base of primarily endocrinologists in centers of excellence. We would, however, evaluate other opportunities to commercialize EB612 and other products candidates for orphan indications, if attractive. We may seek a partner to develop EB613, and anticipate that any such partner would be responsible for, or substantially support, late stage clinical trials of EB613 as well as submitting applications for regulatory approvals and registrations. For instance, we may choose to license our technology to external parties for the development of non-PTH product candidates.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oral PTH product candidates for hypoparathyroidism, osteoporosis and non-union fractures, and any other product candidates that we develop, are the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that, if approved, our oral PTH product candidates for hypoparathyroidism, osteoporosis and non-union fractures, and other product candidates that we develop, would compete with a number of existing products. Furthermore, we believe that we face competition with regard to our oral drug delivery platform, as we believe that other non-invasive medical drug delivery technologies, including alternative oral delivery systems as well as transdermal patches, are being developed by other parties. Many of our potential</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 candidates and achieving widespread market acceptance. See “Risk Factors — Risks Related to Commercialization of Our Product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EB612 for Hypoparathyroidism</w:t>
      </w:r>
    </w:p>
    <w:p>
      <w:pPr>
        <w:spacing w:after="0" w:line="6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Historically, the treatments for hypoparathyroidism have been calcium supplements, vitamin D supplements and phosphate binders, however many serious side effects result from this therapy. Our product candidate EB612 is designed to deliver PTH to hypoparathyroid patients to directly address the underlying PTH deficiency. Because our product would be a branded pharmaceutical, in contrast to the over-the-counter supplements currently used by those with the condition, we believe that the market acceptance will be strongest among patients whose disease is not well-controlled by over-the-counter supplements, or in those patients who continue to suffer from side effects associated with therapy or symptoms associated with poor management of their condition.</w:t>
      </w:r>
    </w:p>
    <w:p>
      <w:pPr>
        <w:spacing w:after="0" w:line="37"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We believe that our key competitor in hypoparathyroidism treatment is Shire plc, which is marketing Natpara, an injectable bioengineered recombinant form of PTH (1-84) that was approved by the FDA in January 2015. Natpara has been granted orphan drug designation for hypoparathyroidism by the FDA as the first approved product for this indication, has orphan drug market exclusivity for seven years in the United States. Orphan drug market exclusivity means that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Therefore, we will only be able to obtain regulatory approval for EB612, which also has orphan drug designation for hypoparathyroidism, if we demonstrate EB612’s clinical superiority over Natpara in that it demonstrates greater effectiveness or safety than Natpara or that it otherwise makes a major contribution to patient care. We believe that we will be able to demonstrate that our oral formulation of PTH is clinically superior to Natpara in terms of efficacy and safety, and therefore, that Natpara’s orphan drug exclusivity will not prevent the FDA from approving our BLA for oral PTH prior to the expiration of Natpara’s market exclusivity period.</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Ascendis Pharma has reported that it is developing a long-acting oral, prodrug formulation of PTH for the treatment of hypoparathyroidism. In September 2017, Ascendis reported that it has initiated a Phase 1 trial with their drug in Australia. Ascendis expects to advance their drug directly into Phase 3 development in the first quarter of 2019</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EB613 for Osteoporosis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Current treatments for osteoporosis generally fall into two categories: antiresorptive medications to slow bone loss and anabolic medications to increase the rate of bone formation. The global osteoporosis drug market has traditionally been dominated by bisphosphonates, which slow bone loss. Although bisphosphonates’ market share has declined due to the occurrence of serious side effects, as well as the introduction of newly developed pharmacological treatments, many of the new drugs have serious side effects of their own. Eli Lilly’s Forteo, is one of the most effective osteoporosis medications. We anticipate that our product candidate EB613 if approved, will compete with Forteo. We believe that EB613 may prove to be superior to Forteo due to its oral administration, potentially leading to greater patient acceptance and its sharper pharmacokinetic profile which is expected to have more potent anabolic effect. However, our competitors in this market are large pharmaceutical companies with greater resources than us and the alternatives therapies have been on the market for many years and have widespread market acceptance.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Bone Healing</w:t>
      </w:r>
    </w:p>
    <w:p>
      <w:pPr>
        <w:spacing w:after="0" w:line="6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are currently no approved pharmacological treatments to stimulate bone healing. We anticipate that, if approved, our oral PTH product candidate for the treatment of non-union fractures would compete with non-pharmacological treatments such as electrical stimulation as well as off-label use of Forteo.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Israeli Innovation Authority Grants</w:t>
      </w:r>
    </w:p>
    <w:p>
      <w:pPr>
        <w:spacing w:after="0" w:line="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have received grants of approximately $0.5 million from the IIA to partially fund our research and development. The grants are subject to certain requirements and restrictions in the Encouragement of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Development and Technological Innovation in Industry Law, 5744-1984,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7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amount that must be repaid may be increased to three times the amount of the grant received, and the rate of royalties may be accelerated if manufacturing of the products developed with the grant money is transferred outside of the State of Israel. As of December 31, 2017, the total royalty amount payable to the IIA, including accrued interest, was approximately $0.5 million. As of December 31, 2017, we had not paid any royalties to the IIA.</w:t>
      </w:r>
    </w:p>
    <w:p>
      <w:pPr>
        <w:spacing w:after="0" w:line="3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“know-how” (as defined in the Research Law)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sale of such technology to a non-Israeli entity up to 600% of the grant amounts plus interest.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 In addition, any change of control and any change of ownership of our ordinary shares (including by way of an initial public offering)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If we fail to comply with the Research Law, we may be forced to return the grants and/or be subject to monetary fines and/or criminal charges.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Oramed Patent Transfer Agreement</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2010, in connection with our establishment as a joint venture between D.N.A Biomedical and Oramed, a subsidiary of Oramed Pharmaceuticals, Inc., we entered into a patent license agreement with Oramed pursuant to which Oramed granted us a worldwide, royalty-bearing, exclusive, irrevocable, perpetual and sublicensable license under certain Oramed patent rights to develop, manufacture and commercialize products for certain indications to be specified by us and Oramed, other than diabetes, obesity and influenza. In February 2011, D.N.A Biomedical and Oramed entered into a share purchase agreement for the sale by Oramed to D.N.A Biomedical of 47% of our ordinary shares. In connection with this transaction, in February 2011 we entered into a patent transfer agreement with Oramed, or the Patent Transfer Agreement, to replace the original 2010 license agreement. Pursuant to the terms of the Patent Transfer Agreement, Oramed assigned to us all of its right, title and interest in the previously licensed patent rights, and in return we granted to Oramed a worldwide, royalty-free, exclusive, irrevocable, perpetual and sublicensable license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In consideration for such assignment,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Either party may terminate the Patent Transfer Agreement for the other party’s uncured material breach upon 45 days’ written notice (and immediately upon written notice in the event of an incurable breach), or if the other party undergoes certain insolvency-related events. The royalty obligations imposed on us will survive termination of the Patent Transfer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ability to protect the proprietary nature of our product candidates, technology, and know-how; operate without infringing on the proprietary rights of others; and prevent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 in part on our ability to obtain patent protection for our intellectual property. We also intend to rely on trade secret protection, know-how and the exploitation of in-licensing opportunities to develop our proprietary position.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Patent Rights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our global patent portfolio included the following patents and patent applications:</w:t>
      </w:r>
    </w:p>
    <w:p>
      <w:pPr>
        <w:spacing w:after="0" w:line="158" w:lineRule="exact"/>
        <w:rPr>
          <w:sz w:val="20"/>
          <w:szCs w:val="20"/>
          <w:color w:val="auto"/>
        </w:rPr>
      </w:pPr>
    </w:p>
    <w:p>
      <w:pPr>
        <w:ind w:left="720" w:right="520" w:hanging="352"/>
        <w:spacing w:after="0" w:line="289"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Patents claiming compositions comprising a protein, an absorption enhancer and a protease inhibitor as well as methods for oral administration of a protein with an enzymatic activity, which compositions cover EB612 and EB613, have been issued in the United States, Australia, Japan, China, Israel, Canada, New Zealand and Russia. Related patent applications are pending in the United States, the European Union, Hong Kong, Brazil, India, Israel and Russia. Specifically, in the United States Australia, Japan, China, Israel and Russia divisional or continuation patent application have been filed to specifically cover PTH (1-34). Such patents have already been granted in Australia and Japan and a notice of allowance was recently issued for the U.S. application. Applications in the remaining jurisdictions are pending. The current issued patents in the United States and China are limited to insulin. These issued patents and any patents that may issue from the pending patent applications are currently expected to expire in August 2029, assuming all annuity and maintenance payments are paid thereon. Rights to these patents and patent applications were assigned to us pursuant to the Patent Transfer Agreement with Oramed.</w:t>
      </w:r>
    </w:p>
    <w:p>
      <w:pPr>
        <w:spacing w:after="0" w:line="99" w:lineRule="exact"/>
        <w:rPr>
          <w:rFonts w:ascii="Arial" w:cs="Arial" w:eastAsia="Arial" w:hAnsi="Arial"/>
          <w:sz w:val="16"/>
          <w:szCs w:val="16"/>
          <w:color w:val="auto"/>
        </w:rPr>
      </w:pPr>
    </w:p>
    <w:p>
      <w:pPr>
        <w:ind w:left="720" w:right="740" w:hanging="352"/>
        <w:spacing w:after="0" w:line="276" w:lineRule="auto"/>
        <w:tabs>
          <w:tab w:leader="none" w:pos="7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Two patent applications and one Patent Cooperation Treaty (PCT) application, which we believe, if issued as national stage patents containing substantially the same claims as those in the applications, would cover certain oral administration technologies. These technologies include compositions and drug delivery devices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w:t>
      </w:r>
    </w:p>
    <w:p>
      <w:pPr>
        <w:spacing w:after="0" w:line="118" w:lineRule="exact"/>
        <w:rPr>
          <w:rFonts w:ascii="Arial" w:cs="Arial" w:eastAsia="Arial" w:hAnsi="Arial"/>
          <w:sz w:val="17"/>
          <w:szCs w:val="17"/>
          <w:color w:val="auto"/>
        </w:rPr>
      </w:pPr>
    </w:p>
    <w:p>
      <w:pPr>
        <w:ind w:left="720" w:right="820" w:hanging="352"/>
        <w:spacing w:after="0" w:line="264"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Three patent applications filed in various jurisdictions, which we believe, if issued as patents containing substantially the same claims as those in the applications, would contain method of treatment claims covering the use of orally administered PTH for the treatment of osteoporosis, hypoparathyroidism, and bone fractures and related conditions.</w:t>
      </w:r>
    </w:p>
    <w:p>
      <w:pPr>
        <w:spacing w:after="0" w:line="7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BLA for the product, plus the time between the submission date of the BLA and the approval of the application. Only one patent applicable to an approved drug is eligible for the extension and the application for the extension must be submitted prior to the expiration of</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European Union and certain other foreign jurisdictions to extend the term of a patent that covers an approved drug. However, the length of any extension, if granted, could be less than we request.</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Trade Secrets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technical review board and other advisors upon their engagement. These agreements generally provide that all confidential information developed or made known to the individual during the course of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these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“Risk Factors — Risks Related to Our Intellectual Property.”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do not own or operate facilities for large scale product manufacturing, storage and distribution, or testing, nor do we expect to in the future. Our current facility is limited to small-mid scale product manufacturing, storage and distribution of materials for clinical studies. Our facility has ISO:9001:2008 quality management systems accreditation from The Standards Institution of Israel for the production and development of functional excipients and oral drug formulations to be used in clinical trials. The facility includes a dedicated clean room designed as a Class C/ISO 8 clean room for tablet production and a dedicated chemical synthesis clean room designed as a Class C ISO 8 clean room.</w:t>
      </w:r>
    </w:p>
    <w:p>
      <w:pPr>
        <w:spacing w:after="0" w:line="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manufacturing activities include the chemical synthesis of one of our non-active but functional drug components as well as the formulation and production of the final drug, packaging, storage and distribution. The testing and release of materials to be used in the manufacturing process as well as the testing and release of the manufactured products is overseen by our QA/QC department and relies on internal and external tests. We have signed a contract with a UK-based contract manufacturing organization, to produce and supply pills for trials performed worldwide. This contract is not exclusive and we may enter into additional contracts as we see fit. Various materials included in the drug formulation and materials procured for the chemical synthesis are commercially available from various accredited suppliers. We do not have supply contracts with all these vendors and are not bound to any specific vendor at this point in time. However, it is our intention to complete such contracts in anticipation of commercial manufacturing activities, so that if approved, we will have such contracts in place.</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March 2017, we contracted with an FDA/EMA inspected-GMP subcontractor in the UK to outsource activities for technical transfer and tablet production for our international clinical trials.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labeling,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Review and Approval of Biologics in the United States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our product candidates are regulated by the FDA as biologics under the Federal Food, Drug, and Cosmetic Act, or the FDCA, the Public Health Service Act, or the PHSA, and regulations implemented by the agency.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or other governmental entities.</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process required by the FDA before a biologic may be marketed in the United States generally involves satisfactorily completing each of the following steps:</w:t>
      </w:r>
    </w:p>
    <w:p>
      <w:pPr>
        <w:spacing w:after="0" w:line="76" w:lineRule="exact"/>
        <w:rPr>
          <w:sz w:val="20"/>
          <w:szCs w:val="20"/>
          <w:color w:val="auto"/>
        </w:rPr>
      </w:pPr>
    </w:p>
    <w:p>
      <w:pPr>
        <w:ind w:left="720" w:right="480" w:hanging="352"/>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75" w:lineRule="exact"/>
        <w:rPr>
          <w:rFonts w:ascii="Arial" w:cs="Arial" w:eastAsia="Arial" w:hAnsi="Arial"/>
          <w:sz w:val="18"/>
          <w:szCs w:val="18"/>
          <w:color w:val="auto"/>
        </w:rPr>
      </w:pPr>
    </w:p>
    <w:p>
      <w:pPr>
        <w:ind w:left="720" w:right="860" w:hanging="352"/>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w:t>
      </w:r>
    </w:p>
    <w:p>
      <w:pPr>
        <w:spacing w:after="0" w:line="130" w:lineRule="exact"/>
        <w:rPr>
          <w:rFonts w:ascii="Arial" w:cs="Arial" w:eastAsia="Arial" w:hAnsi="Arial"/>
          <w:sz w:val="18"/>
          <w:szCs w:val="18"/>
          <w:color w:val="auto"/>
        </w:rPr>
      </w:pPr>
    </w:p>
    <w:p>
      <w:pPr>
        <w:ind w:left="720" w:right="740" w:hanging="352"/>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candidate for each proposed indication and conducted in accordance with Good Clinical Practice, or GCP, requirements;</w:t>
      </w:r>
    </w:p>
    <w:p>
      <w:pPr>
        <w:spacing w:after="0" w:line="62" w:lineRule="exact"/>
        <w:rPr>
          <w:rFonts w:ascii="Arial" w:cs="Arial" w:eastAsia="Arial" w:hAnsi="Arial"/>
          <w:sz w:val="18"/>
          <w:szCs w:val="18"/>
          <w:color w:val="auto"/>
        </w:rPr>
      </w:pPr>
    </w:p>
    <w:p>
      <w:pPr>
        <w:ind w:left="720" w:right="880" w:hanging="352"/>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submission of data supporting safety and efficacy as well as detailed information on the manufacture and composition of the product in clinical development and proposed labeling;</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preparation and submission to the FDA of a BLA;</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30" w:lineRule="exact"/>
        <w:rPr>
          <w:rFonts w:ascii="Arial" w:cs="Arial" w:eastAsia="Arial" w:hAnsi="Arial"/>
          <w:sz w:val="18"/>
          <w:szCs w:val="18"/>
          <w:color w:val="auto"/>
        </w:rPr>
      </w:pPr>
    </w:p>
    <w:p>
      <w:pPr>
        <w:ind w:left="720" w:right="580" w:hanging="352"/>
        <w:spacing w:after="0" w:line="312"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including those of third parties, at which the product, or components thereof, are produced to assess compliance with current good manufacturing practice, or cGMP, requirements and to assure that the facilities, methods and controls are adequate to preserve the product’s identity, strength, quality and purity;</w:t>
      </w:r>
    </w:p>
    <w:p>
      <w:pPr>
        <w:spacing w:after="0" w:line="38" w:lineRule="exact"/>
        <w:rPr>
          <w:rFonts w:ascii="Arial" w:cs="Arial" w:eastAsia="Arial" w:hAnsi="Arial"/>
          <w:sz w:val="16"/>
          <w:szCs w:val="16"/>
          <w:color w:val="auto"/>
        </w:rPr>
      </w:pPr>
    </w:p>
    <w:p>
      <w:pPr>
        <w:ind w:left="720" w:right="740" w:hanging="352"/>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requirements and the integrity of clinical data in support of the BLA;</w:t>
      </w:r>
    </w:p>
    <w:p>
      <w:pPr>
        <w:spacing w:after="0" w:line="89" w:lineRule="exact"/>
        <w:rPr>
          <w:rFonts w:ascii="Arial" w:cs="Arial" w:eastAsia="Arial" w:hAnsi="Arial"/>
          <w:sz w:val="18"/>
          <w:szCs w:val="18"/>
          <w:color w:val="auto"/>
        </w:rPr>
      </w:pPr>
    </w:p>
    <w:p>
      <w:pPr>
        <w:ind w:left="720" w:hanging="352"/>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for the proposed indication; and</w:t>
      </w:r>
    </w:p>
    <w:p>
      <w:pPr>
        <w:spacing w:after="0" w:line="130" w:lineRule="exact"/>
        <w:rPr>
          <w:rFonts w:ascii="Arial" w:cs="Arial" w:eastAsia="Arial" w:hAnsi="Arial"/>
          <w:sz w:val="18"/>
          <w:szCs w:val="18"/>
          <w:color w:val="auto"/>
        </w:rPr>
      </w:pPr>
    </w:p>
    <w:p>
      <w:pPr>
        <w:ind w:left="720" w:right="940" w:hanging="352"/>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any post-approval studies required by the FDA.</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w:t>
      </w:r>
    </w:p>
    <w:p>
      <w:pPr>
        <w:spacing w:after="0" w:line="8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suspension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Clinical Trials</w:t>
      </w:r>
    </w:p>
    <w:p>
      <w:pPr>
        <w:spacing w:after="0" w:line="10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candidate to healthy volunteers or patients with the disease to be treated under the supervision of a qualified principal investigator in accordance with cGCP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BLA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the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continuing the clinical trial as planned, make changes in clinical trial conduct, or cessation of the clinical trial at designated check points based on access to certain data from the clinical trial.</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Annual progress reports detailing the results of the clinical trials must be submitted to the FDA. Additional studies may be required after approval.</w:t>
      </w:r>
    </w:p>
    <w:p>
      <w:pPr>
        <w:spacing w:after="0" w:line="143" w:lineRule="exact"/>
        <w:rPr>
          <w:sz w:val="20"/>
          <w:szCs w:val="20"/>
          <w:color w:val="auto"/>
        </w:rPr>
      </w:pPr>
    </w:p>
    <w:p>
      <w:pPr>
        <w:ind w:left="720" w:right="660" w:hanging="352"/>
        <w:spacing w:after="0" w:line="264"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metabolism, excretion and pharmacodynamics in healthy humans or, on occasion, in patients, such as cancer patients.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760" w:hanging="352"/>
        <w:spacing w:after="0" w:line="312"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06" w:lineRule="exact"/>
        <w:rPr>
          <w:rFonts w:ascii="Arial" w:cs="Arial" w:eastAsia="Arial" w:hAnsi="Arial"/>
          <w:sz w:val="16"/>
          <w:szCs w:val="16"/>
          <w:color w:val="auto"/>
        </w:rPr>
      </w:pPr>
    </w:p>
    <w:p>
      <w:pPr>
        <w:ind w:left="720" w:right="600" w:hanging="352"/>
        <w:spacing w:after="0" w:line="255"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proceed if the Phase 2 clinical trials demonstrate that a dose range of the product candidate is potentially effective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an 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Compliance with Current Good Manufacturing Practice Requirements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Manufacturers and others involved in the manufacture and distribution of products must also register their establishments with the FDA and certain state agencies.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Review and Approval of a Biologic License Application</w:t>
      </w:r>
    </w:p>
    <w:p>
      <w:pPr>
        <w:spacing w:after="0" w:line="1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results of product candidate development, preclinical testing and clinical trials, including negative or ambiguous results as well as positive findings, are submitted to the FDA as part of a BLA requesting approval to market the product. The BLA also must contain extensive manufacturing information and detailed information on the composition of the product and proposed labeling as well as payment of a user fee. According to the FDA’s fee schedule, effective from October 1, 2017 through September 30, 2018, the user fee for an application requiring clinical data, such as a BLA, is $2,421,495.</w:t>
      </w:r>
    </w:p>
    <w:p>
      <w:pPr>
        <w:spacing w:after="0" w:line="4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under the Prescription Drug User Fee Act,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 information or clarification regarding information already provided in the submission within the last three months before the PDUFA goal date.</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FDCA and the PHSA, the FDA may approve a BLA if it determines that the product is safe, pure and potent and the facility where the product will be manufactured meets standards designed to ensure that it continues to be safe, pure and potent.</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0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Accelerated Approval Pathway</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used extensively in the development and approval of products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Post-Approval Regulation</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6" w:lineRule="exact"/>
        <w:rPr>
          <w:sz w:val="20"/>
          <w:szCs w:val="20"/>
          <w:color w:val="auto"/>
        </w:rPr>
      </w:pPr>
    </w:p>
    <w:p>
      <w:pPr>
        <w:ind w:left="720" w:hanging="352"/>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63" w:lineRule="exact"/>
        <w:rPr>
          <w:rFonts w:ascii="Arial" w:cs="Arial" w:eastAsia="Arial" w:hAnsi="Arial"/>
          <w:sz w:val="18"/>
          <w:szCs w:val="18"/>
          <w:color w:val="auto"/>
        </w:rPr>
      </w:pPr>
    </w:p>
    <w:p>
      <w:pPr>
        <w:ind w:left="720" w:hanging="352"/>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63" w:lineRule="exact"/>
        <w:rPr>
          <w:rFonts w:ascii="Arial" w:cs="Arial" w:eastAsia="Arial" w:hAnsi="Arial"/>
          <w:sz w:val="18"/>
          <w:szCs w:val="18"/>
          <w:color w:val="auto"/>
        </w:rPr>
      </w:pPr>
    </w:p>
    <w:p>
      <w:pPr>
        <w:ind w:left="720" w:hanging="352"/>
        <w:spacing w:after="0"/>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refusal of the FDA to approve pending BLAs or supplements to approved BLAs, or suspension or revocation of product license approvals;</w:t>
      </w:r>
    </w:p>
    <w:p>
      <w:pPr>
        <w:spacing w:after="0" w:line="74" w:lineRule="exact"/>
        <w:rPr>
          <w:rFonts w:ascii="Arial" w:cs="Arial" w:eastAsia="Arial" w:hAnsi="Arial"/>
          <w:sz w:val="17"/>
          <w:szCs w:val="17"/>
          <w:color w:val="auto"/>
        </w:rPr>
      </w:pPr>
    </w:p>
    <w:p>
      <w:pPr>
        <w:ind w:left="720" w:hanging="352"/>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63" w:lineRule="exact"/>
        <w:rPr>
          <w:rFonts w:ascii="Arial" w:cs="Arial" w:eastAsia="Arial" w:hAnsi="Arial"/>
          <w:sz w:val="18"/>
          <w:szCs w:val="18"/>
          <w:color w:val="auto"/>
        </w:rPr>
      </w:pPr>
    </w:p>
    <w:p>
      <w:pPr>
        <w:ind w:left="720" w:hanging="352"/>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Orphan Drug Designation</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Orphan drug designation qualifies a company for tax credits, waiver of the BLA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BLA to market the same biologic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spacing w:after="0" w:line="5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Biosimilars and Exclusivity</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2010 Patient Protection and Affordable Care Act, as amended by the Health Care and Education Reconciliation Act, or collectively the ACA, which was signed into law on March 23, 2010, included a subtitle called the Biologics Price Competition and Innovation Act of 2009 or BPCIA. The BPCIA established a regulatory scheme authorizing the FDA to approve biosimilars and interchangeable biosimilars. To date, five biosimilars have been licensed under the BPCIA, although numerous biosimilars have been approved in Europe.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Patent Term Extension</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patent claiming a new drug or biologic product may be eligible for a limited patent term extension under the Hatch-Waxman Act, which permits a patent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granted is typically one-half the time between the effective date of the first IND and the submission date of the BLA for the product, plus the time between the submission date of the BLA and the approval of that application.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products. The USPTO reviews and approves the application for any patent term extension or restoration in consultation with the FDA.</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Outside the United States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and Marketing Authorization in the European Union</w:t>
      </w:r>
    </w:p>
    <w:p>
      <w:pPr>
        <w:spacing w:after="0" w:line="10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EMA is the scientific agency of the European Union that coordinates the evaluation and monitoring of new and approved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 member states.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process regarding approval of medicinal products in the European Union follows roughly the same lines as in the United States and likewise generally involves satisfactorily completing each of the following:</w:t>
      </w:r>
    </w:p>
    <w:p>
      <w:pPr>
        <w:spacing w:after="0" w:line="89" w:lineRule="exact"/>
        <w:rPr>
          <w:sz w:val="20"/>
          <w:szCs w:val="20"/>
          <w:color w:val="auto"/>
        </w:rPr>
      </w:pPr>
    </w:p>
    <w:p>
      <w:pPr>
        <w:ind w:left="720" w:right="860" w:hanging="352"/>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applicable EU Good Laboratory Practice regulations;</w:t>
      </w:r>
    </w:p>
    <w:p>
      <w:pPr>
        <w:spacing w:after="0" w:line="75" w:lineRule="exact"/>
        <w:rPr>
          <w:rFonts w:ascii="Arial" w:cs="Arial" w:eastAsia="Arial" w:hAnsi="Arial"/>
          <w:sz w:val="18"/>
          <w:szCs w:val="18"/>
          <w:color w:val="auto"/>
        </w:rPr>
      </w:pPr>
    </w:p>
    <w:p>
      <w:pPr>
        <w:ind w:left="720" w:right="720" w:hanging="352"/>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submission to the relevant national authorities of a clinical trial application, or CTA, for each clinical trial, which must be approved before human clinical trials may begin;</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to establish the safety and efficacy of the product for each proposed indication;</w:t>
      </w:r>
    </w:p>
    <w:p>
      <w:pPr>
        <w:spacing w:after="0" w:line="155" w:lineRule="exact"/>
        <w:rPr>
          <w:rFonts w:ascii="Arial" w:cs="Arial" w:eastAsia="Arial" w:hAnsi="Arial"/>
          <w:sz w:val="17"/>
          <w:szCs w:val="17"/>
          <w:color w:val="auto"/>
        </w:rPr>
      </w:pPr>
    </w:p>
    <w:p>
      <w:pPr>
        <w:ind w:left="720" w:right="600" w:hanging="352"/>
        <w:spacing w:after="0" w:line="264"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submission to the relevant competent authorities of a marketing authorization application, or MAA, which includes the data supporting safety and efficacy as well as detailed information on the manufacture and composition of the product in clinical development and proposed labeling;</w:t>
      </w:r>
    </w:p>
    <w:p>
      <w:pPr>
        <w:spacing w:after="0" w:line="86" w:lineRule="exact"/>
        <w:rPr>
          <w:rFonts w:ascii="Arial" w:cs="Arial" w:eastAsia="Arial" w:hAnsi="Arial"/>
          <w:sz w:val="18"/>
          <w:szCs w:val="18"/>
          <w:color w:val="auto"/>
        </w:rPr>
      </w:pPr>
    </w:p>
    <w:p>
      <w:pPr>
        <w:ind w:left="720" w:right="900" w:hanging="352"/>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75" w:lineRule="exact"/>
        <w:rPr>
          <w:rFonts w:ascii="Arial" w:cs="Arial" w:eastAsia="Arial" w:hAnsi="Arial"/>
          <w:sz w:val="18"/>
          <w:szCs w:val="18"/>
          <w:color w:val="auto"/>
        </w:rPr>
      </w:pPr>
    </w:p>
    <w:p>
      <w:pPr>
        <w:ind w:left="720" w:hanging="352"/>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audits of the non-clinical and clinical trial sites that generated the data in support of the MAA; and</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 and approval by the relevant competent authority of the MAA before any commercial marketing, sale or shipment of the product.</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Clinical Trial Approval</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Requirements for the conduct of clinical trials in the European Union including cGCP, are implemented in the currently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a EU member state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5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April 2014, the European Union legislative body passed the new Clinical Trials Regulation (EU) No 536/2014 which is set to replace the current Clinical Trials Directive 2001/20/EC. To ensure that the rules for clinical trials are identical throughout the EU, the new EU clinical trials legislation was passed as a regulation which is directly applicable in all EU member states. All clinical trials performed in the European Union are required to be conducted in accordance with the Clinical Trials Directive 2001/20/EC until the new Clinical Trials Regulation (EU) No 536/2014 will become applicable. According to the current plans of the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new Regulation (EU) No 536/2014 aims to simplify and streamline the approval of clinical trial in the European Union. The main characteristics of the regulation include:</w:t>
      </w:r>
    </w:p>
    <w:p>
      <w:pPr>
        <w:spacing w:after="0" w:line="103" w:lineRule="exact"/>
        <w:rPr>
          <w:sz w:val="20"/>
          <w:szCs w:val="20"/>
          <w:color w:val="auto"/>
        </w:rPr>
      </w:pPr>
    </w:p>
    <w:p>
      <w:pPr>
        <w:ind w:left="720" w:hanging="35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streamlined application procedure via a single entry point, the EU portal;</w:t>
      </w:r>
    </w:p>
    <w:p>
      <w:pPr>
        <w:spacing w:after="0" w:line="157" w:lineRule="exact"/>
        <w:rPr>
          <w:rFonts w:ascii="Arial" w:cs="Arial" w:eastAsia="Arial" w:hAnsi="Arial"/>
          <w:sz w:val="18"/>
          <w:szCs w:val="18"/>
          <w:color w:val="auto"/>
        </w:rPr>
      </w:pPr>
    </w:p>
    <w:p>
      <w:pPr>
        <w:ind w:left="720" w:right="960" w:hanging="352"/>
        <w:spacing w:after="0" w:line="308"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single set of documents to be prepared and submitted for the application as well as simplified reporting procedures which will spare sponsors from submitting broadly identical information separately to various bodies and different Member States;</w:t>
      </w:r>
    </w:p>
    <w:p>
      <w:pPr>
        <w:spacing w:after="0" w:line="65" w:lineRule="exact"/>
        <w:rPr>
          <w:rFonts w:ascii="Arial" w:cs="Arial" w:eastAsia="Arial" w:hAnsi="Arial"/>
          <w:sz w:val="17"/>
          <w:szCs w:val="17"/>
          <w:color w:val="auto"/>
        </w:rPr>
      </w:pPr>
    </w:p>
    <w:p>
      <w:pPr>
        <w:ind w:left="720" w:right="680" w:hanging="352"/>
        <w:spacing w:after="0" w:line="277"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harmonized procedure for the assessment of applications for clinical trials, which is divided in two parts. Part I is jointly assessed by all Member States concerned. Part II is assessed by each Member State concerned separately;</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Strictly defined deadlines for the assessment of clinical trial application; and</w:t>
      </w:r>
    </w:p>
    <w:p>
      <w:pPr>
        <w:spacing w:after="0" w:line="157"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involvement of the ethics committees in the assessment procedure in accordance with the national law of the Member State concerned but within the overall timelines defined by the Regulation (EU) No 536/2014.</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Marketing Authorization</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Authorization to market a product in the member states of the European Union proceeds under one of four procedures: a centralized authorization procedure, a mutual recognition procedure, a decentralized procedure or a national procedure.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Centralized Authorization Procedure</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is automatically valid in all — currently 28 — European Union member states. Sponsors may elect to file an MAA through the centralized procedures for other classes of products. The EMA and the European Commission administer this centralized authorization procedure pursuant to Regulation (EC) No 726/2004. The other European Economic Area member states (namely Norway, Iceland and Liechtenstein) are also obligated to recognize the Commission decision.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Pursuant to Regulation (EC) No 726/2004, this procedure is mandatory for:</w:t>
      </w:r>
    </w:p>
    <w:p>
      <w:pPr>
        <w:spacing w:after="0" w:line="144" w:lineRule="exact"/>
        <w:rPr>
          <w:sz w:val="20"/>
          <w:szCs w:val="20"/>
          <w:color w:val="auto"/>
        </w:rPr>
      </w:pPr>
    </w:p>
    <w:p>
      <w:pPr>
        <w:ind w:left="720" w:hanging="35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medicinal products developed by means of one of the following biotechnological processes:</w:t>
      </w:r>
    </w:p>
    <w:p>
      <w:pPr>
        <w:spacing w:after="0" w:line="157" w:lineRule="exact"/>
        <w:rPr>
          <w:rFonts w:ascii="Arial" w:cs="Arial" w:eastAsia="Arial" w:hAnsi="Arial"/>
          <w:sz w:val="18"/>
          <w:szCs w:val="18"/>
          <w:color w:val="auto"/>
        </w:rPr>
      </w:pPr>
    </w:p>
    <w:p>
      <w:pPr>
        <w:ind w:left="1080" w:hanging="352"/>
        <w:spacing w:after="0"/>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recombinant DNA technology;</w:t>
      </w:r>
    </w:p>
    <w:p>
      <w:pPr>
        <w:spacing w:after="0" w:line="144" w:lineRule="exact"/>
        <w:rPr>
          <w:rFonts w:ascii="Arial" w:cs="Arial" w:eastAsia="Arial" w:hAnsi="Arial"/>
          <w:sz w:val="18"/>
          <w:szCs w:val="18"/>
          <w:color w:val="auto"/>
        </w:rPr>
      </w:pPr>
    </w:p>
    <w:p>
      <w:pPr>
        <w:ind w:left="1080" w:right="1440" w:hanging="352"/>
        <w:spacing w:after="0" w:line="277"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controlled expression of genes coding for biologically active proteins in prokaryotes and eukaryotes including transformed mammalian cells; and</w:t>
      </w:r>
    </w:p>
    <w:p>
      <w:pPr>
        <w:spacing w:after="0" w:line="102" w:lineRule="exact"/>
        <w:rPr>
          <w:rFonts w:ascii="Arial" w:cs="Arial" w:eastAsia="Arial" w:hAnsi="Arial"/>
          <w:sz w:val="18"/>
          <w:szCs w:val="18"/>
          <w:color w:val="auto"/>
        </w:rPr>
      </w:pPr>
    </w:p>
    <w:p>
      <w:pPr>
        <w:ind w:left="1080" w:hanging="352"/>
        <w:spacing w:after="0"/>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hybridoma and monoclonal antibody methods;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advanced therapy medicinal products as defined in Article 2 of Regulation (EC) No 1394/2007 on advanced therapy medicinal products;</w:t>
      </w:r>
    </w:p>
    <w:p>
      <w:pPr>
        <w:spacing w:after="0" w:line="169" w:lineRule="exact"/>
        <w:rPr>
          <w:rFonts w:ascii="Arial" w:cs="Arial" w:eastAsia="Arial" w:hAnsi="Arial"/>
          <w:sz w:val="17"/>
          <w:szCs w:val="17"/>
          <w:color w:val="auto"/>
        </w:rPr>
      </w:pPr>
    </w:p>
    <w:p>
      <w:pPr>
        <w:ind w:left="720" w:right="1000" w:hanging="352"/>
        <w:spacing w:after="0" w:line="308"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medicinal products for human use containing a new active substance which, on the date of entry into force of this Regulation, was not authorized in the European Union, for which the therapeutic indication is the treatment of any of the following diseases:</w:t>
      </w:r>
    </w:p>
    <w:p>
      <w:pPr>
        <w:spacing w:after="0" w:line="79" w:lineRule="exact"/>
        <w:rPr>
          <w:rFonts w:ascii="Arial" w:cs="Arial" w:eastAsia="Arial" w:hAnsi="Arial"/>
          <w:sz w:val="17"/>
          <w:szCs w:val="17"/>
          <w:color w:val="auto"/>
        </w:rPr>
      </w:pPr>
    </w:p>
    <w:p>
      <w:pPr>
        <w:ind w:left="1080" w:hanging="352"/>
        <w:spacing w:after="0"/>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acquired immune deficiency syndrome;</w:t>
      </w:r>
    </w:p>
    <w:p>
      <w:pPr>
        <w:spacing w:after="0" w:line="144" w:lineRule="exact"/>
        <w:rPr>
          <w:rFonts w:ascii="Arial" w:cs="Arial" w:eastAsia="Arial" w:hAnsi="Arial"/>
          <w:sz w:val="18"/>
          <w:szCs w:val="18"/>
          <w:color w:val="auto"/>
        </w:rPr>
      </w:pPr>
    </w:p>
    <w:p>
      <w:pPr>
        <w:ind w:left="1080" w:hanging="352"/>
        <w:spacing w:after="0"/>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cancer;</w:t>
      </w:r>
    </w:p>
    <w:p>
      <w:pPr>
        <w:spacing w:after="0" w:line="157" w:lineRule="exact"/>
        <w:rPr>
          <w:rFonts w:ascii="Arial" w:cs="Arial" w:eastAsia="Arial" w:hAnsi="Arial"/>
          <w:sz w:val="18"/>
          <w:szCs w:val="18"/>
          <w:color w:val="auto"/>
        </w:rPr>
      </w:pPr>
    </w:p>
    <w:p>
      <w:pPr>
        <w:ind w:left="1080" w:hanging="352"/>
        <w:spacing w:after="0"/>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neurodegenerative disorder;</w:t>
      </w:r>
    </w:p>
    <w:p>
      <w:pPr>
        <w:spacing w:after="0" w:line="157" w:lineRule="exact"/>
        <w:rPr>
          <w:rFonts w:ascii="Arial" w:cs="Arial" w:eastAsia="Arial" w:hAnsi="Arial"/>
          <w:sz w:val="18"/>
          <w:szCs w:val="18"/>
          <w:color w:val="auto"/>
        </w:rPr>
      </w:pPr>
    </w:p>
    <w:p>
      <w:pPr>
        <w:ind w:left="1080" w:hanging="352"/>
        <w:spacing w:after="0"/>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diabetes;</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80" w:hanging="352"/>
        <w:spacing w:after="0"/>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auto-immune diseases and other immune dysfunctions; and</w:t>
      </w:r>
    </w:p>
    <w:p>
      <w:pPr>
        <w:spacing w:after="0" w:line="198" w:lineRule="exact"/>
        <w:rPr>
          <w:rFonts w:ascii="Arial" w:cs="Arial" w:eastAsia="Arial" w:hAnsi="Arial"/>
          <w:sz w:val="18"/>
          <w:szCs w:val="18"/>
          <w:color w:val="auto"/>
        </w:rPr>
      </w:pPr>
    </w:p>
    <w:p>
      <w:pPr>
        <w:ind w:left="1080" w:hanging="352"/>
        <w:spacing w:after="0"/>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viral diseases; and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medicinal products that are designated as orphan medicinal products pursuant to Regulation (EC) No 141/2000.</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centralized authorization procedure is optional for other medicinal products if they contain a new active substance or if the applicant shows that the medicinal product concerned constitutes a significant therapeutic, scientific or technical innovation or that the granting of authorization is in the interest of patients in the European Union.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Administrative Procedure</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centralized authorization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European Union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Conditional Approval</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Marketing Authorization Under Exceptional Circumstances</w:t>
      </w:r>
    </w:p>
    <w:p>
      <w:pPr>
        <w:spacing w:after="0" w:line="10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per Art.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 Authorizations Granted by Authorities of EU Member States</w:t>
      </w:r>
    </w:p>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general, if the centralized procedure is not followed, there are three alternative procedures to obtain a marketing authorization in (one or several) EU member states as prescribed in Directive 2001/83/EC:</w:t>
      </w:r>
    </w:p>
    <w:p>
      <w:pPr>
        <w:spacing w:after="0" w:line="143" w:lineRule="exact"/>
        <w:rPr>
          <w:sz w:val="20"/>
          <w:szCs w:val="20"/>
          <w:color w:val="auto"/>
        </w:rPr>
      </w:pPr>
    </w:p>
    <w:p>
      <w:pPr>
        <w:ind w:left="720" w:right="700" w:hanging="352"/>
        <w:spacing w:after="0" w:line="308" w:lineRule="auto"/>
        <w:tabs>
          <w:tab w:leader="none" w:pos="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decentralized procedure allows applicants to file identical applications to several EU member states and receive simultaneous national approvals based on the recognition by EU member states of an assessment by a reference member state.</w:t>
      </w:r>
    </w:p>
    <w:p>
      <w:pPr>
        <w:spacing w:after="0" w:line="106" w:lineRule="exact"/>
        <w:rPr>
          <w:rFonts w:ascii="Arial" w:cs="Arial" w:eastAsia="Arial" w:hAnsi="Arial"/>
          <w:sz w:val="17"/>
          <w:szCs w:val="17"/>
          <w:color w:val="auto"/>
        </w:rPr>
      </w:pPr>
    </w:p>
    <w:p>
      <w:pPr>
        <w:ind w:left="720" w:hanging="35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national procedure is only available for products intended to be authorized in a single EU member state.</w:t>
      </w:r>
    </w:p>
    <w:p>
      <w:pPr>
        <w:spacing w:after="0" w:line="184" w:lineRule="exact"/>
        <w:rPr>
          <w:rFonts w:ascii="Arial" w:cs="Arial" w:eastAsia="Arial" w:hAnsi="Arial"/>
          <w:sz w:val="18"/>
          <w:szCs w:val="18"/>
          <w:color w:val="auto"/>
        </w:rPr>
      </w:pPr>
    </w:p>
    <w:p>
      <w:pPr>
        <w:ind w:left="720" w:right="1180" w:hanging="352"/>
        <w:spacing w:after="0" w:line="277"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mutual recognition procedure similar to the decentralized procedure is available when a marketing authorization has already been obtained in at least one European Union member state.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marketing authorization may be granted only to an applicant established in the European Union.</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Pediatric Studies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obtaining a marketing authorization in the European Union, applicants have to demonstrate compliance with all measures included in an EMA-approved Paediatric Investigation Plan, or PIP, covering all subsets of the paediatric population, unless the EMA has granted (1) a product-specific waiver, (2) a class waiver, or (3) a deferral for one or more of the measures included in the PIP. The respective requirements for all marketing authorization procedures are laid down in Regulation (EC) No 1901/2006, the so 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Period of Authorization and Renewals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marketing authorization will be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will be valid for an unlimited period, unless the Commission or the competent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0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Pursuant to Regulation (EC) No 141/2000 and Regulation (EC) No. 847/2000 the European Commission can grant such orphan medicinal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the sponsor must establish that there is no other satisfactory method approved in the European Union of diagnosing, preventing or treating the condition, or if such a method exists, the proposed orphan drug will be of significant benefit to patients.</w:t>
      </w:r>
    </w:p>
    <w:p>
      <w:pPr>
        <w:spacing w:after="0" w:line="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Orphan drug designation provides a number of benefits, including fee reductions, regulatory assistance, and the possibility to apply for a centralized EU marketing authorization (see “Centralized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Regulatory Data Protection</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European Union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w:t>
      </w:r>
      <w:r>
        <w:rPr>
          <w:rFonts w:ascii="Arial" w:cs="Arial" w:eastAsia="Arial" w:hAnsi="Arial"/>
          <w:sz w:val="16"/>
          <w:szCs w:val="16"/>
          <w:i w:val="1"/>
          <w:iCs w:val="1"/>
          <w:color w:val="auto"/>
        </w:rPr>
        <w:t>Orphan Drug Designation and Exclusivity</w:t>
      </w:r>
      <w:r>
        <w:rPr>
          <w:rFonts w:ascii="Arial" w:cs="Arial" w:eastAsia="Arial" w:hAnsi="Arial"/>
          <w:sz w:val="16"/>
          <w:szCs w:val="16"/>
          <w:color w:val="auto"/>
        </w:rPr>
        <w:t>”). Depending upon the timing and duration of the EU marketing authorization process, products may be eligible for up to five years’ supplementary protection certificates, or SPCs, pursuant to Regulation (EC) No 469/2009. Such SPCs extend the rights under the basic patent for the drug.</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obtain authorization for a medicinal product in the European Union, we will be required to comply with a range of requirements applicable to the manufacturing, marketing, promotion and sale of medicinal products: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Pharmacovigilance and Other Requirements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will, for example, have to comply with the EU’s stringent pharmacovigilance or safety reporting rules, pursuant to which post-authorization studies and additional monitoring obligations can be imposed.</w:t>
      </w:r>
    </w:p>
    <w:p>
      <w:pPr>
        <w:spacing w:after="0" w:line="6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Other requirements relate to, for example, the manufacturing of products and active pharmaceutical ingredients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European Union. Similarly, failure to comply with the EU’s requirements regarding the protection of individual personal data can also lead to significant penalties and sanctions. Individual European Union member states may also impose various sanctions and penalties in case we do not comply with locally applicable requirements.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Manufacturing</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manufacturing of authorized drugs, for which a separate manufacturer’s license is mandatory, must be conducted in strict compliance with the EMA’s cGMP requirements and comparable requirements of other regulatory bodies in the European Union,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Marketing and Promotion</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The applicable regulations aim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Clinical Testing in Israel</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order to conduct clinical trials on humans in Israel, prior authorization must be obtained (depending on the nature of the trial) from either the medical director of the institution in which the clinical trials are scheduled to be conducted, or from the general manager of the Israeli Ministry of Health, as required under the Guidelines for Clinical Trials in Human Subjects implemented pursuant to the Israeli Public Health Regulations (Clinical Trials in Human Subjects), 5740-1980, as amended from time to time.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 In certain circumstances, such as in the cases of genetic trials or special fertility trials, a written opinion provided by the Ministry of Health’s ethics committee is also required in order to receive such authorization.</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institutional ethics committee must, among other things, evaluate the anticipated benefits that are likely to be derived from the project to determine if it justifies the risks and inconvenience to be inflicted on the participating human subjects, and it must also ensure that adequate protection exists for the rights and safety of the participants as well as the accuracy of the information gathered in the course of the clinical testing.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Healthcare Laws</w:t>
      </w:r>
    </w:p>
    <w:p>
      <w:pPr>
        <w:spacing w:after="0" w:line="10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Health care providers, physicians and third-party payors play a primary role in the recommendation and prescription of drug products that are granted marketing approval. Arrangements with third-party payors and customers are subject to broadly applicable fraud and abuse and other health care laws and regulations. In the United States, such restrictions under applicable federal and state healthcare laws and regulations, include the following:</w:t>
      </w:r>
    </w:p>
    <w:p>
      <w:pPr>
        <w:spacing w:after="0" w:line="39" w:lineRule="exact"/>
        <w:rPr>
          <w:sz w:val="20"/>
          <w:szCs w:val="20"/>
          <w:color w:val="auto"/>
        </w:rPr>
      </w:pPr>
    </w:p>
    <w:p>
      <w:pPr>
        <w:ind w:left="720" w:right="440" w:hanging="352"/>
        <w:spacing w:after="0" w:line="293"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56" w:lineRule="exact"/>
        <w:rPr>
          <w:rFonts w:ascii="Arial" w:cs="Arial" w:eastAsia="Arial" w:hAnsi="Arial"/>
          <w:sz w:val="16"/>
          <w:szCs w:val="16"/>
          <w:color w:val="auto"/>
        </w:rPr>
      </w:pPr>
    </w:p>
    <w:p>
      <w:pPr>
        <w:ind w:left="720" w:right="440" w:hanging="352"/>
        <w:spacing w:after="0" w:line="264"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3" w:lineRule="exact"/>
        <w:rPr>
          <w:rFonts w:ascii="Arial" w:cs="Arial" w:eastAsia="Arial" w:hAnsi="Arial"/>
          <w:sz w:val="18"/>
          <w:szCs w:val="18"/>
          <w:color w:val="auto"/>
        </w:rPr>
      </w:pPr>
    </w:p>
    <w:p>
      <w:pPr>
        <w:ind w:left="720" w:right="400" w:hanging="352"/>
        <w:spacing w:after="0" w:line="259"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78" w:lineRule="exact"/>
        <w:rPr>
          <w:rFonts w:ascii="Arial" w:cs="Arial" w:eastAsia="Arial" w:hAnsi="Arial"/>
          <w:sz w:val="18"/>
          <w:szCs w:val="18"/>
          <w:color w:val="auto"/>
        </w:rPr>
      </w:pPr>
    </w:p>
    <w:p>
      <w:pPr>
        <w:ind w:left="720" w:right="700" w:hanging="352"/>
        <w:spacing w:after="0" w:line="308" w:lineRule="auto"/>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38" w:lineRule="exact"/>
        <w:rPr>
          <w:rFonts w:ascii="Arial" w:cs="Arial" w:eastAsia="Arial" w:hAnsi="Arial"/>
          <w:sz w:val="17"/>
          <w:szCs w:val="17"/>
          <w:color w:val="auto"/>
        </w:rPr>
      </w:pPr>
    </w:p>
    <w:p>
      <w:pPr>
        <w:ind w:left="720" w:right="720" w:hanging="352"/>
        <w:spacing w:after="0" w:line="312"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federal transparency requirements under the ACA require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and their immediate family members;</w:t>
      </w:r>
    </w:p>
    <w:p>
      <w:pPr>
        <w:spacing w:after="0" w:line="38" w:lineRule="exact"/>
        <w:rPr>
          <w:rFonts w:ascii="Arial" w:cs="Arial" w:eastAsia="Arial" w:hAnsi="Arial"/>
          <w:sz w:val="16"/>
          <w:szCs w:val="16"/>
          <w:color w:val="auto"/>
        </w:rPr>
      </w:pPr>
    </w:p>
    <w:p>
      <w:pPr>
        <w:ind w:left="720" w:right="680" w:hanging="352"/>
        <w:spacing w:after="0" w:line="277"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62" w:lineRule="exact"/>
        <w:rPr>
          <w:rFonts w:ascii="Arial" w:cs="Arial" w:eastAsia="Arial" w:hAnsi="Arial"/>
          <w:sz w:val="18"/>
          <w:szCs w:val="18"/>
          <w:color w:val="auto"/>
        </w:rPr>
      </w:pPr>
    </w:p>
    <w:p>
      <w:pPr>
        <w:ind w:left="720" w:right="420" w:hanging="352"/>
        <w:spacing w:after="0" w:line="302"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46" w:lineRule="exact"/>
        <w:rPr>
          <w:rFonts w:ascii="Arial" w:cs="Arial" w:eastAsia="Arial" w:hAnsi="Arial"/>
          <w:sz w:val="16"/>
          <w:szCs w:val="16"/>
          <w:color w:val="auto"/>
        </w:rPr>
      </w:pPr>
    </w:p>
    <w:p>
      <w:pPr>
        <w:ind w:left="720" w:right="540" w:hanging="352"/>
        <w:spacing w:after="0" w:line="286" w:lineRule="auto"/>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items or services reimbursed by any payor, including commercial insurers; state laws that require pharmaceutical companies to comply with the industry’s voluntary compliance guidelines and the applicable compliance guidance promulgated by the federal</w:t>
      </w: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right="60"/>
        <w:spacing w:after="0" w:line="299" w:lineRule="auto"/>
        <w:rPr>
          <w:sz w:val="20"/>
          <w:szCs w:val="20"/>
          <w:color w:val="auto"/>
        </w:rPr>
      </w:pPr>
      <w:r>
        <w:rPr>
          <w:rFonts w:ascii="Arial" w:cs="Arial" w:eastAsia="Arial" w:hAnsi="Arial"/>
          <w:sz w:val="16"/>
          <w:szCs w:val="16"/>
          <w:color w:val="auto"/>
        </w:rPr>
        <w:t>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 w:lineRule="exact"/>
        <w:rPr>
          <w:sz w:val="20"/>
          <w:szCs w:val="20"/>
          <w:color w:val="auto"/>
        </w:rPr>
      </w:pPr>
    </w:p>
    <w:p>
      <w:pPr>
        <w:ind w:left="720" w:right="940" w:hanging="352"/>
        <w:spacing w:after="0" w:line="277"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Environmental, Health and Safety</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further subject to various foreign, national, federal, state and local laws and regulations relating to environmental, health and safety matters, including the handling, disposal, release, and use of and maintenance of a registry for hazardous materials, among others. Although we do not believe that we will be required to make material operating or capital expenditures in connection with such laws and regulations, we may be required to incur significant costs to comply with these laws and regulations in the 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Pharmaceutical Pricing and Reimbursement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members of Congress and the new administration.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payor’s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containment of healthcare costs has become a priority of governments, and the prices of drugs have been a focus in this effort. Third-party payors are increasingly challenging the prices charged for medical products and services and examining the medical necessity and cost effectiveness of medical products and</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Health Care Reform</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6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President Trump and the majorities of both houses of Congress have stated their intention to repeal and replace the ACA.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states, individuals, healthcare providers, health insurers, or manufacturers of pharmaceuticals or medical devices. In December 2017, the Tax Cuts and Jobs Act was enacted and signed into law, one part of which repeals the “individual mandate” introduced by the ACA starting in 2019. Considerable uncertainty remains about the ultimate content, timing or effect of any healthcare reform legislation on us, our industry or the market for drug products like ours.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Organization</w:t>
      </w:r>
    </w:p>
    <w:p>
      <w:pPr>
        <w:spacing w:after="0" w:line="10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were incorporated in September 2009, and commenced operations as a joint venture of D.N.A Biomedical and Oramed in June 2010 to pursue the development of pharmaceutical products for the oral delivery of proteins. In connection with our founding, Oramed licensed to us the use of certain of its patent rights relating to the oral delivery of drugs. In February 2011, Oramed sold the majority of its holdings in us to D.N.A Biomedical and, assigned to us its patent rights that it had previously licensed to us, in exchange for an exclusive license to use the assigned patent rights in the fields of diabetes and influenza and for royalties of 3% of our net revenues generated from the use or other exploitation of the assigned patent rights. In March 2011, D.N.A Biomedical and Oramed terminated the joint venture. We began operations in August 2010, and our operations to date have included developing our drug delivery technology for the oral administration of proteins and large molecules, in particular our oral PTH (1-34) product candidates.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March 31, 2018, we had 19 employees, one consultant who provides consulting services to us on a full-time basis and two consultants who provide services to us on a part-time basis. Four of our employees have either PhDs or MDs. Eighteen of our employees are located in Israel and one in the United States. We believe that we maintain good relations with all of our employees and consultants. We are not a party to any collective labor agreements. In addition, we have entered into service agreements with three of our directors. See “Certain Relationships and Related Party Transactions — Service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corporate headquarters and research facilities are located in Jerusalem, Israel, where we lease office and laboratory space pursuant to a lease agreement that will expire on June 30, 2023, with a one-time option for early termination by us on June 30, 2020. This facility also houses our clinical development, clinical operations, regulatory and management functions.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We believe that suitable additional space would be available if required in the future on commercially reasonable terms.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are not currently a party to any material legal proceedings. Emisphere Technologies, Inc., or Emisphere, has notified us that it believes that it is the exclusive owner of certain U.S. and related foreign patents and patent applications we acquired from Oramed Ltd.; however, Emisphere has not initiated a legal proceeding against us regarding its claim. For more information on the risks related to Emisphere’s claim, see “Risk Factors — Risks Related to Our Intellectual Property — </w:t>
      </w:r>
      <w:r>
        <w:rPr>
          <w:rFonts w:ascii="Arial" w:cs="Arial" w:eastAsia="Arial" w:hAnsi="Arial"/>
          <w:sz w:val="18"/>
          <w:szCs w:val="18"/>
          <w:i w:val="1"/>
          <w:iCs w:val="1"/>
          <w:color w:val="auto"/>
        </w:rPr>
        <w:t>We may become involved in proceedings to protect or enforce our proprietary rights, which could be expensive and time consuming,</w:t>
      </w:r>
      <w:r>
        <w:rPr>
          <w:rFonts w:ascii="Arial" w:cs="Arial" w:eastAsia="Arial" w:hAnsi="Arial"/>
          <w:sz w:val="18"/>
          <w:szCs w:val="18"/>
          <w:color w:val="auto"/>
        </w:rPr>
        <w:t xml:space="preserve"> </w:t>
      </w:r>
      <w:r>
        <w:rPr>
          <w:rFonts w:ascii="Arial" w:cs="Arial" w:eastAsia="Arial" w:hAnsi="Arial"/>
          <w:sz w:val="18"/>
          <w:szCs w:val="18"/>
          <w:i w:val="1"/>
          <w:iCs w:val="1"/>
          <w:color w:val="auto"/>
        </w:rPr>
        <w:t>and may ultimately be unsuccessful</w:t>
      </w:r>
      <w:r>
        <w:rPr>
          <w:rFonts w:ascii="Arial" w:cs="Arial" w:eastAsia="Arial" w:hAnsi="Arial"/>
          <w:sz w:val="18"/>
          <w:szCs w:val="18"/>
          <w:color w:val="auto"/>
        </w:rPr>
        <w:t>.”</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gridSpan w:val="2"/>
          </w:tcPr>
          <w:p>
            <w:pPr>
              <w:ind w:left="1880"/>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6260" w:type="dxa"/>
            <w:vAlign w:val="bottom"/>
          </w:tcPr>
          <w:p>
            <w:pPr>
              <w:ind w:left="28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4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50"/>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60" w:type="dxa"/>
            <w:vAlign w:val="bottom"/>
          </w:tcPr>
          <w:p>
            <w:pPr>
              <w:spacing w:after="0"/>
              <w:rPr>
                <w:sz w:val="21"/>
                <w:szCs w:val="2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Dr. Phillip Schwartz</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Mira Rosenzweig</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Dr. Hillel Galitzer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Dr. Eric Lang</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Chief Medical Officer</w:t>
            </w:r>
          </w:p>
        </w:tc>
      </w:tr>
      <w:tr>
        <w:trPr>
          <w:trHeight w:val="354"/>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07"/>
        </w:trPr>
        <w:tc>
          <w:tcPr>
            <w:tcW w:w="4320" w:type="dxa"/>
            <w:vAlign w:val="bottom"/>
            <w:gridSpan w:val="2"/>
          </w:tcPr>
          <w:p>
            <w:pPr>
              <w:spacing w:after="0" w:line="307" w:lineRule="exact"/>
              <w:rPr>
                <w:sz w:val="20"/>
                <w:szCs w:val="20"/>
                <w:color w:val="auto"/>
              </w:rPr>
            </w:pPr>
            <w:r>
              <w:rPr>
                <w:rFonts w:ascii="Arial" w:cs="Arial" w:eastAsia="Arial" w:hAnsi="Arial"/>
                <w:sz w:val="18"/>
                <w:szCs w:val="18"/>
                <w:color w:val="auto"/>
              </w:rPr>
              <w:t>Luke M. Beshar</w:t>
            </w:r>
            <w:r>
              <w:rPr>
                <w:rFonts w:ascii="Arial" w:cs="Arial" w:eastAsia="Arial" w:hAnsi="Arial"/>
                <w:sz w:val="27"/>
                <w:szCs w:val="27"/>
                <w:color w:val="auto"/>
                <w:vertAlign w:val="superscript"/>
              </w:rPr>
              <w:t>(1)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r>
      <w:tr>
        <w:trPr>
          <w:trHeight w:val="220"/>
        </w:trPr>
        <w:tc>
          <w:tcPr>
            <w:tcW w:w="4320" w:type="dxa"/>
            <w:vAlign w:val="bottom"/>
            <w:gridSpan w:val="2"/>
          </w:tcPr>
          <w:p>
            <w:pPr>
              <w:spacing w:after="0"/>
              <w:rPr>
                <w:sz w:val="20"/>
                <w:szCs w:val="20"/>
                <w:color w:val="auto"/>
              </w:rPr>
            </w:pPr>
            <w:r>
              <w:rPr>
                <w:rFonts w:ascii="Arial" w:cs="Arial" w:eastAsia="Arial" w:hAnsi="Arial"/>
                <w:sz w:val="18"/>
                <w:szCs w:val="18"/>
                <w:color w:val="auto"/>
              </w:rPr>
              <w:t>Roger Garceau</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70"/>
        </w:trPr>
        <w:tc>
          <w:tcPr>
            <w:tcW w:w="4320" w:type="dxa"/>
            <w:vAlign w:val="bottom"/>
            <w:gridSpan w:val="2"/>
          </w:tcPr>
          <w:p>
            <w:pPr>
              <w:spacing w:after="0" w:line="270" w:lineRule="exact"/>
              <w:rPr>
                <w:sz w:val="20"/>
                <w:szCs w:val="20"/>
                <w:color w:val="auto"/>
              </w:rPr>
            </w:pPr>
            <w:r>
              <w:rPr>
                <w:rFonts w:ascii="Arial" w:cs="Arial" w:eastAsia="Arial" w:hAnsi="Arial"/>
                <w:sz w:val="18"/>
                <w:szCs w:val="18"/>
                <w:color w:val="auto"/>
              </w:rPr>
              <w:t>Gerald Lieberman</w:t>
            </w:r>
            <w:r>
              <w:rPr>
                <w:rFonts w:ascii="Arial" w:cs="Arial" w:eastAsia="Arial" w:hAnsi="Arial"/>
                <w:sz w:val="27"/>
                <w:szCs w:val="27"/>
                <w:color w:val="auto"/>
                <w:vertAlign w:val="superscript"/>
              </w:rPr>
              <w:t>(2)(3)(4)</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07"/>
        </w:trPr>
        <w:tc>
          <w:tcPr>
            <w:tcW w:w="4320" w:type="dxa"/>
            <w:vAlign w:val="bottom"/>
            <w:gridSpan w:val="2"/>
          </w:tcPr>
          <w:p>
            <w:pPr>
              <w:spacing w:after="0" w:line="307" w:lineRule="exact"/>
              <w:rPr>
                <w:sz w:val="20"/>
                <w:szCs w:val="20"/>
                <w:color w:val="auto"/>
              </w:rPr>
            </w:pPr>
            <w:r>
              <w:rPr>
                <w:rFonts w:ascii="Arial" w:cs="Arial" w:eastAsia="Arial" w:hAnsi="Arial"/>
                <w:sz w:val="18"/>
                <w:szCs w:val="18"/>
                <w:color w:val="auto"/>
              </w:rPr>
              <w:t>Zeev Bronfeld</w:t>
            </w:r>
            <w:r>
              <w:rPr>
                <w:rFonts w:ascii="Arial" w:cs="Arial" w:eastAsia="Arial" w:hAnsi="Arial"/>
                <w:sz w:val="27"/>
                <w:szCs w:val="27"/>
                <w:color w:val="auto"/>
                <w:vertAlign w:val="superscript"/>
              </w:rPr>
              <w:t>(2)(3)</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David Ben Ami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46"/>
        </w:trPr>
        <w:tc>
          <w:tcPr>
            <w:tcW w:w="4320" w:type="dxa"/>
            <w:vAlign w:val="bottom"/>
            <w:gridSpan w:val="2"/>
          </w:tcPr>
          <w:p>
            <w:pPr>
              <w:spacing w:after="0"/>
              <w:rPr>
                <w:sz w:val="20"/>
                <w:szCs w:val="20"/>
                <w:color w:val="auto"/>
              </w:rPr>
            </w:pPr>
            <w:r>
              <w:rPr>
                <w:rFonts w:ascii="Arial" w:cs="Arial" w:eastAsia="Arial" w:hAnsi="Arial"/>
                <w:sz w:val="18"/>
                <w:szCs w:val="18"/>
                <w:color w:val="auto"/>
              </w:rPr>
              <w:t>Chaim Davis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53"/>
        </w:trPr>
        <w:tc>
          <w:tcPr>
            <w:tcW w:w="4320" w:type="dxa"/>
            <w:vAlign w:val="bottom"/>
            <w:gridSpan w:val="2"/>
          </w:tcPr>
          <w:p>
            <w:pPr>
              <w:spacing w:after="0"/>
              <w:rPr>
                <w:sz w:val="20"/>
                <w:szCs w:val="20"/>
                <w:color w:val="auto"/>
              </w:rPr>
            </w:pPr>
            <w:r>
              <w:rPr>
                <w:rFonts w:ascii="Arial" w:cs="Arial" w:eastAsia="Arial" w:hAnsi="Arial"/>
                <w:sz w:val="18"/>
                <w:szCs w:val="18"/>
                <w:color w:val="auto"/>
              </w:rPr>
              <w:t>Yonatan Malca</w:t>
            </w:r>
            <w:r>
              <w:rPr>
                <w:rFonts w:ascii="Arial" w:cs="Arial" w:eastAsia="Arial" w:hAnsi="Arial"/>
                <w:sz w:val="27"/>
                <w:szCs w:val="27"/>
                <w:color w:val="auto"/>
                <w:vertAlign w:val="superscript"/>
              </w:rPr>
              <w:t>(2)(3)</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51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93" w:lineRule="exact"/>
        <w:rPr>
          <w:sz w:val="20"/>
          <w:szCs w:val="20"/>
          <w:color w:val="auto"/>
        </w:rPr>
      </w:pPr>
    </w:p>
    <w:p>
      <w:pPr>
        <w:ind w:left="360" w:right="740" w:hanging="352"/>
        <w:spacing w:after="0" w:line="277"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Beshar has notified us that he intends to resign from our board of directors on the earlier of (i) immediately prior to the effectiveness of the registration statement of which this prospectus forms a part or (ii) June 30, 2018.</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be appointed as a member of our Audit Committee.</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be appointed as a member of our Compensation Committee.</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Independent director under the rules of NASDAQ Capital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Dr. Phillip Schwartz </w:t>
      </w:r>
      <w:r>
        <w:rPr>
          <w:rFonts w:ascii="Arial" w:cs="Arial" w:eastAsia="Arial" w:hAnsi="Arial"/>
          <w:sz w:val="17"/>
          <w:szCs w:val="17"/>
          <w:color w:val="auto"/>
        </w:rPr>
        <w:t>has served as our Chief Executive Officer and as a Director since our inception in 2010. He previously served as the manager of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affairs at Endo Pharmaceuticals from 2005 to 2010 and at Serono from 2002 to 2005, and held multiple positions in medical affairs, business development and clinical trial development at each of Endo Pharmaceuticals and Serono. He has also worked as an external consultant for a number of venture capital firms. Dr. Schwartz has more than 20 years of biotech and pharmaceutical industry experience. He has also consulted privately and served as an associate of Health Advances, LLC for more than 20 large biotech and pharmaceutical companies from 2000 to 2002. He has multiple publications in peer-reviewed journals and has presented papers at numerous international conferences. Dr. Schwartz completed his B.A. in psychology and architecture at Columbia University in 1987, and during that time he also worked in the neurobiology laboratory of Nobel Laureate Professor Torsten Wiesel of the Rockefeller University. Dr. Schwartz then studied immunology with Professor Irun Cohen at the Weizmann Institute, receiving his M.Sc. in 1991. In 1997, Dr. Schwartz received his Ph.D. in neurobiology/development/oncology from Harvard Medical School. In addition to his scientific training, Dr. Schwartz completed numerous clinical courses as part of his program at Harvard Medical School. After completing his Ph.D., Dr. Schwartz was a fellow in pediatric oncology at the Dana Farber Cancer Institute and an officer of Harvard University Medical School.</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Mira Rosenzweig </w:t>
      </w:r>
      <w:r>
        <w:rPr>
          <w:rFonts w:ascii="Arial" w:cs="Arial" w:eastAsia="Arial" w:hAnsi="Arial"/>
          <w:sz w:val="17"/>
          <w:szCs w:val="17"/>
          <w:color w:val="auto"/>
        </w:rPr>
        <w:t>has served as our Chief Financial Officer since May 2014. Ms. Rosenzweig served as the Chief Financial Officer of Paskal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Ltd., a company that provides solutions for the agriculture industry, from May 2013 to May 2014. Prior to that, from September 2008 to November 2011, Ms. Rosenzweig served as the vice president and chief financial officer of Camtek Ltd. (NASDAQ: CAMT), a company that provides automated solutions for the semiconductors and printed circuit board industries. From August 2006 to August 2008, Ms. Rosenzweig served as director of finance and from August 2001 to 2006 as a controller and in various other positions for Elron Electronic Industries Ltd., then-traded on NASDAQ. Ms. Rosenzweig is a certified public accountant and holds a B.A. in Accounting and Economics from the University of Haifa, Israel.</w:t>
      </w:r>
    </w:p>
    <w:p>
      <w:pPr>
        <w:spacing w:after="0" w:line="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 xml:space="preserve">Dr. Hillel Galitzer </w:t>
      </w:r>
      <w:r>
        <w:rPr>
          <w:rFonts w:ascii="Arial" w:cs="Arial" w:eastAsia="Arial" w:hAnsi="Arial"/>
          <w:sz w:val="17"/>
          <w:szCs w:val="17"/>
          <w:color w:val="auto"/>
        </w:rPr>
        <w:t>has served as our Chief Operating Officer since February 2014, and prior to that served as our Director of Scientific Development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2012. Between August 2010 and February 2014, Dr. Galitzer was an analyst and the chief operating officer for Hadasit Bio Holdings Ltd., a publicly traded company on the Tel Aviv Stock Exchange and OTC markets. He has more than 10 years of experience in medical research and molecular biology. He is the co-founder and former chief operating officer of Optivasive Inc. He has written numerous publications in peer-reviewed journals and has lectured and presented in international conferences and universities.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Dr. Eric Lang </w:t>
      </w:r>
      <w:r>
        <w:rPr>
          <w:rFonts w:ascii="Arial" w:cs="Arial" w:eastAsia="Arial" w:hAnsi="Arial"/>
          <w:sz w:val="18"/>
          <w:szCs w:val="18"/>
          <w:color w:val="auto"/>
        </w:rPr>
        <w:t>has served as our Chief Medical Officer since January 2018. Dr. Lang has extensive experience in designing drug development programs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early stages through phase III, including the successful filing of several recent INDs and NDAs. From 2012 to 2017, Dr. Lang worked at Covance, Inc., most recently as the Vice President and Global Head of Clinical Drug Development Strategists. From 2010 to 2011, Dr. Lang worked at Grunenthal USA Inc. where he acted as Vice President, US Clinical Development. Prior to these positions, Dr. Lang worked at both Javelin Pharmaceuticals, Novartis Consumer Health and Johnson and Johnson. He received his M.D. from Ben Gurion University of the Negev in Israel, is licensed in both the United States and Israel and is board certified as an Anesthesiologist.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Luke M. Beshar </w:t>
      </w:r>
      <w:r>
        <w:rPr>
          <w:rFonts w:ascii="Arial" w:cs="Arial" w:eastAsia="Arial" w:hAnsi="Arial"/>
          <w:sz w:val="16"/>
          <w:szCs w:val="16"/>
          <w:color w:val="auto"/>
        </w:rPr>
        <w:t>has served as a director since December 2015, and as the executive chairman of our board of directors since December 2016. Previously,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Beshar served as Chief Financial Officer and Executive Vice President of NPS Pharmaceuticals, Inc. since November 2007 and January 2012, respectively, until February 2015, when NPS Pharmaceuticals was acquired by Shire plc. Prior to that he served in several managerial positions with NPS Pharmaceuticals, Camberx Corporation, Expanets, Inc., PNY Technologies, Inc., Dendrite International, WSR Corporation, the Genlyte Group, Inc. and Bairnco Corporation. Mr. Beshar has been an independent director of Trillium Therapeutics Inc. (NASDAQ: TRIL), since March 2014 and Regenxbio Inc. (NASDAQ: RGNX) since April 2015. He is a Member of the New York Society of Certified Public Accountants. He has a B.A. in Accounting and Finance from Michigan State University and is a graduate of the Executive Program of the Darden Graduate Business School at the University of Virginia.</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Dr. Roger Garceau </w:t>
      </w:r>
      <w:r>
        <w:rPr>
          <w:rFonts w:ascii="Arial" w:cs="Arial" w:eastAsia="Arial" w:hAnsi="Arial"/>
          <w:sz w:val="17"/>
          <w:szCs w:val="17"/>
          <w:color w:val="auto"/>
        </w:rPr>
        <w:t>has served as a member of our board of directors since March 2016 and as our Chief Development Advisor since December 2016.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joining Entera, Dr. Garceau served as Chief Medical Officer and Executive Vice President of NPS Pharmaceuticals, Inc. since December 2008 and January 2013 respectively, until February 2015, when NPS Pharmaceuticals was acquired by Shire plc. Previously, Dr. Garceau served in several managerial positions with NPS Pharmaceuticals, Inc. Sanofi-aventis and Pharmacia Corporation. Dr. Garceau has been a non-executive director of Enterome SA since December 2016. Dr. Garceau is a board-certified pediatrician and is a Fellow of the American Academy of Pediatrics. Dr. Garceau holds a B.S. in Biology from Fairfield University in Fairfield, Connecticut and an M.D. from the University of Massachusetts Medical School.</w:t>
      </w:r>
    </w:p>
    <w:p>
      <w:pPr>
        <w:spacing w:after="0" w:line="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 xml:space="preserve">Gerald Lieberman </w:t>
      </w:r>
      <w:r>
        <w:rPr>
          <w:rFonts w:ascii="Arial" w:cs="Arial" w:eastAsia="Arial" w:hAnsi="Arial"/>
          <w:sz w:val="16"/>
          <w:szCs w:val="16"/>
          <w:color w:val="auto"/>
        </w:rPr>
        <w:t>has served as a member of our board of directors since 2014. Mr. Lieberman was the former president and chief operating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AllianceBernstein L.P. until 2009. There, he was elected chief operating officer and a director in November 2003 and added the title of president 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November 2004. Prior to that, Mr. Lieberman was senior vice president for finance and administration at Sanford C. Bernstein &amp; Co., Inc. He has also held senior roles at Fidelity Investments and Citicorp. From 2011 to 2014, he served on the board of directors of Forest Laboratories Inc., which was acquired by Actavis plc in 2014. Mr. Lieberman currently serves on the board of Teva Pharmaceutical Industries Ltd. Mr. Lieberman earned a B.S. with honors from the University of Connecticut and attended New York University’s Graduate School of Business Administration. He is a certified public accountant.</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Zeev Bronfeld </w:t>
      </w:r>
      <w:r>
        <w:rPr>
          <w:rFonts w:ascii="Arial" w:cs="Arial" w:eastAsia="Arial" w:hAnsi="Arial"/>
          <w:sz w:val="16"/>
          <w:szCs w:val="16"/>
          <w:color w:val="auto"/>
        </w:rPr>
        <w:t>has served as a member of our board of directors since 2010 and as chairman of our board of directors from September 2014 until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Mr. Bronfeld, is a co-founder of Bio-Cell Ltd., an Israeli publicly traded holding company specializing in biotechnology companies, and served as its chief executive officer from 1986 until December 2014. Since 2003, Mr. Bronfeld served as the chief executive officer of M.B.R.T Development and Investments Ltd. Mr. Bronfeld has vast experience in the management and value building of biotechnology companies. From 2010 through July 2014, he served as the chairman of the board of Protalix BioTherapeutics, Inc. (NYSE: PLX) and has served as a member of its board of directors since 2006. In addition, Mr. Bronfeld serves on the board of directors of D.N.A Biomedical Solutions Ltd. and of The Trendlines Group Ltd. Until December 2016 he served as a director of D. Medical Industries Ltd. and Nasvax Ltd. Until January 2017, Mr. Bronfeld also served as a director of Macrocure Ltd. Mr. Bronfeld also serves as a director of a number of privately-held companies, including, Contipi Medical Ltd. and as the chairman of the board of TransBiodiesel Ltd. Mr. Bronfeld holds a B.A. in Economics from the Hebrew University of Jerusalem. Mr. Bronfeld serves on our board of directors as a designee of D.N.A Biomedical pursuant to rights granted to D.N.A Biomedical under our articles of association as in effect prior to the closing of this offering.</w:t>
      </w:r>
    </w:p>
    <w:p>
      <w:pPr>
        <w:spacing w:after="0" w:line="6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David Ben Ami </w:t>
      </w:r>
      <w:r>
        <w:rPr>
          <w:rFonts w:ascii="Arial" w:cs="Arial" w:eastAsia="Arial" w:hAnsi="Arial"/>
          <w:sz w:val="16"/>
          <w:szCs w:val="16"/>
          <w:color w:val="auto"/>
        </w:rPr>
        <w:t>has served as a member of our board of directors since 2014. Mr. Ben Ami is the Managing Partner of Corundum Open Innovation Fund,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sciences venture capital fund, and the Executive Investment Director of SBI JI Innovation Advisory Ltd. Mr. Ben Ami has more than 25 years of experience with activities in management, business development, corporate strategy and investments in the life sciences industry. He served as chief executive officer of NVR Labs Ltd. from 2005 to 2010, Israeli Country Manager of Boston Scientific, Israel from 2003 to 2005, and director of business development of Teva Israel and Teva Medical from 1999 to 2002. In 2008, he founded Macrocure Ltd., and served as the chairman of the board of directors of Macrocure from 2008 until 2016. Mr. Ben Ami currently serves, and in the past served as a board member in numerous companies including: Immunobrain Checkpoint Inc., Novolog Ltd., Degania Medical Ltd., Biocell Ltd., Meytav Technology Incubator, Hairstetics Ltd., VVT Medical and Contipi Medical Ltd. He received his M.B.A. and B.A. in Economics &amp; Management from Tel-Aviv University. Mr. Ben Ami serves on our board of directors as a designee of the Centillion Fund pursuant to rights granted to Centillion Fund under our articles of association as in effect prior to the closing of this offering. For further information regarding our commitment under certain circumstances to nominate one director nominee designated by Centillion Fund following the closing of this offering, see “— Arrangements for Election of Directors.” Following the consummation of this offering, Mr. Ben Ami intends to resign from our board.</w:t>
      </w:r>
    </w:p>
    <w:p>
      <w:pPr>
        <w:spacing w:after="0" w:line="6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Chaim Davis </w:t>
      </w:r>
      <w:r>
        <w:rPr>
          <w:rFonts w:ascii="Arial" w:cs="Arial" w:eastAsia="Arial" w:hAnsi="Arial"/>
          <w:sz w:val="17"/>
          <w:szCs w:val="17"/>
          <w:color w:val="auto"/>
        </w:rPr>
        <w:t>has served as a member of our board of directors since 2013. Mr. Davis is the managing member of the Revach Fund L.P., a sector-specific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lifescience fund focusing on micro to mid-cap companies, which he founded in 2005. He has served on the board of American Bio Medica since June 2017. He has also served as a consultant to other hedge funds including Gem Partners, KOM Capital Management and Maot Group. From 2010 to 2014, he served as a director of AtheroNova Inc. (OTCBQ: AHRO), and from 2001 to 2004, he served as a healthcare analyst at The Garnet Group. Mr. Davis received his B.A. from Columbia University. Mr. Davis serves on our board of directors as a designee of certain of our shareholders who are lenders under certain of our convertible financing agreements, pursuant to rights granted to these lenders under the current Articles, as in effect prior to the closing of this offering. Following the consummation of this offering, Mr. Davis intends to resign from our board.</w:t>
      </w:r>
    </w:p>
    <w:p>
      <w:pPr>
        <w:spacing w:after="0" w:line="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Yonatan Malca </w:t>
      </w:r>
      <w:r>
        <w:rPr>
          <w:rFonts w:ascii="Arial" w:cs="Arial" w:eastAsia="Arial" w:hAnsi="Arial"/>
          <w:sz w:val="18"/>
          <w:szCs w:val="18"/>
          <w:color w:val="auto"/>
        </w:rPr>
        <w:t>has served as a member of our board of directors since 2011. Mr. Malca currently serves as a Chief Executive Officer and Director of D.N.A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Biomedical Solutions Ltd., a position he has held since 2010. Mr. Malca also serves as a director of Arko Holdings Ltd. and of Tamda Ltd., both of which are Israeli public companies. Mr. Malca also serves on the board of directors of a number of private companies, including as chairman of the board of directors of Cardioart Technologies Ltd., a medical</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device company, and Beamed Ltd., a medical device company (a subsidiary of D.N.A Biomedical). Mr. Malca received a B.A. and an M.A. from Bar Ilan University, Israel. Mr. Malca serves on our board of directors as a designee of D.N.A Biomedical pursuant to rights granted to D.N.A Biomedical under our articles of association as in effect prior to the closing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for Election of Directors</w:t>
      </w:r>
    </w:p>
    <w:p>
      <w:pPr>
        <w:spacing w:after="0" w:line="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Pursuant to the terms of the amended and restated investors’ rights agreement among us, the Centillion Fund, or Centillion, and the other parties thereto, following the consummation of this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9.96% of our issued and outstanding ordinary shares, and in the event that Centillion exercises in full all of the warrants and options to purchase our ordinary shares that we will have issued to it as of such date, Centillion will hold approximately 17.6% of our issued and outstanding ordinary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incorporated in Israel and therefore are subject to various corporate governance practices under the Israeli Companies Law, 5759-1999, or the Companies Law, relating to such matters as external directors, financial experts, our audit committee, our compensation committee and our internal auditor. These matters are in addition to the requirements of the NASDAQ Capital Market and other applicable provisions of U.S. securities laws. As a foreign private issuer whose securities will be listed on the NASDAQ Capital Market, we have the option to follow certain Israeli corporate governance practices rather than those of the NASDAQ Capital Market, except to the extent that such laws would be contrary to U.S. securities laws and provided that we disclose the practices that we are not following and describe the home country practices we follow instead. We intend to rely on this “foreign private issuer exemption” with respect to the following NASDAQ Capital Market requirements:</w:t>
      </w:r>
    </w:p>
    <w:p>
      <w:pPr>
        <w:spacing w:after="0" w:line="16" w:lineRule="exact"/>
        <w:rPr>
          <w:sz w:val="20"/>
          <w:szCs w:val="20"/>
          <w:color w:val="auto"/>
        </w:rPr>
      </w:pPr>
    </w:p>
    <w:p>
      <w:pPr>
        <w:ind w:left="720" w:right="620" w:hanging="352"/>
        <w:spacing w:after="0" w:line="291" w:lineRule="auto"/>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Although the NASDAQ Capital Market listing requirements generally require shareholder approval of equity</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plans and material amendments thereto, we intend to follow Israeli practice, which is to have such plans and amendments approved only by the board of directors, unless such arrangements are for the compensation of chief executive officer or directors, in which case they also require the approval of the compensation committee and the shareholders. In addition, rather than follow the NASDAQ Capital Market listing requirements requiring shareholder approval for the issuance of securities in certain circumstances, we intend to follow Israeli law applicable to us, which requires shareholder approval in the event of issuances to certain related parties, as described below under “Fiduciary Duties and Approval of Related Party Transactions — Approval of Related Party Transactions”.</w:t>
      </w:r>
    </w:p>
    <w:p>
      <w:pPr>
        <w:spacing w:after="0" w:line="5" w:lineRule="exact"/>
        <w:rPr>
          <w:rFonts w:ascii="Arial" w:cs="Arial" w:eastAsia="Arial" w:hAnsi="Arial"/>
          <w:sz w:val="16"/>
          <w:szCs w:val="16"/>
          <w:color w:val="auto"/>
        </w:rPr>
      </w:pPr>
    </w:p>
    <w:p>
      <w:pPr>
        <w:ind w:left="720" w:right="520" w:hanging="352"/>
        <w:spacing w:after="0" w:line="295" w:lineRule="auto"/>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Quorum. </w:t>
      </w:r>
      <w:r>
        <w:rPr>
          <w:rFonts w:ascii="Arial" w:cs="Arial" w:eastAsia="Arial" w:hAnsi="Arial"/>
          <w:sz w:val="16"/>
          <w:szCs w:val="16"/>
          <w:color w:val="auto"/>
        </w:rPr>
        <w:t>The NASDAQ Capital Market listing requirements require that an issuer have a quorum requirement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meetings of at least one-third of the outstanding shares of the issuer’s common voting stock. As permitted under the Companies Law, pursuant to our amended Articles to be in effect immediately upon the closing of this offering, the quorum required for an ordinary meeting of shareholders will consist of at least two shareholders present in person or by proxy who hold in the aggregate at least 25% of the voting power of our issued and outstanding shares and, in an adjourned meeting, subject to certain exceptions, any two shareholders.</w:t>
      </w:r>
    </w:p>
    <w:p>
      <w:pPr>
        <w:spacing w:after="0" w:line="3" w:lineRule="exact"/>
        <w:rPr>
          <w:rFonts w:ascii="Arial" w:cs="Arial" w:eastAsia="Arial" w:hAnsi="Arial"/>
          <w:sz w:val="16"/>
          <w:szCs w:val="16"/>
          <w:color w:val="auto"/>
        </w:rPr>
      </w:pPr>
    </w:p>
    <w:p>
      <w:pPr>
        <w:ind w:left="720" w:right="580" w:hanging="352"/>
        <w:spacing w:after="0" w:line="255"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NASDAQ Capital Market listing requirements require a listed company to have a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composed entirely of independent directors that operates pursuant to a written charter addressing its purpose, responsibilities and membership qualifications and may receive counseling from independent consultants, after evaluating their independence. The purpose, responsibilities and membership qualifications of our compensation committee will be governed by the Companies Law, rather than the NASDAQ Capital Market listing requirements. In addition, under the Companies Law, there are no specific independence evaluation requirements for outside consultants.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540" w:hanging="352"/>
        <w:spacing w:after="0" w:line="259"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Independent Approval of Board Nominations</w:t>
      </w:r>
      <w:r>
        <w:rPr>
          <w:rFonts w:ascii="Arial" w:cs="Arial" w:eastAsia="Arial" w:hAnsi="Arial"/>
          <w:sz w:val="18"/>
          <w:szCs w:val="18"/>
          <w:color w:val="auto"/>
        </w:rPr>
        <w:t>. The NASDAQ Capital Market listing requirements require a listed company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control over the approval of board nominations, either through an independent nominating committee or through a vote by a majority of the company’s independent directors. Under the Companies Law, there is no requirement to have a nominating committee or that board nominees be approved by independent directors.</w:t>
      </w:r>
    </w:p>
    <w:p>
      <w:pPr>
        <w:spacing w:after="0" w:line="24" w:lineRule="exact"/>
        <w:rPr>
          <w:rFonts w:ascii="Arial" w:cs="Arial" w:eastAsia="Arial" w:hAnsi="Arial"/>
          <w:sz w:val="18"/>
          <w:szCs w:val="18"/>
          <w:color w:val="auto"/>
        </w:rPr>
      </w:pPr>
    </w:p>
    <w:p>
      <w:pPr>
        <w:ind w:left="720" w:right="560" w:hanging="352"/>
        <w:spacing w:after="0" w:line="305"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Under the NASDAQ Capital Market listing requirements, a majority of the board of directors must be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Companies Law, there is no requirement that a majority of the board be independent, rather only that at least two directors meet certain independence requirements and be classified as external directors for purposes of the Companies Law. See “— External Directors.”</w:t>
      </w:r>
    </w:p>
    <w:p>
      <w:pPr>
        <w:ind w:left="720" w:right="640" w:hanging="352"/>
        <w:spacing w:after="0" w:line="264"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Executive Sessions</w:t>
      </w:r>
      <w:r>
        <w:rPr>
          <w:rFonts w:ascii="Arial" w:cs="Arial" w:eastAsia="Arial" w:hAnsi="Arial"/>
          <w:sz w:val="18"/>
          <w:szCs w:val="18"/>
          <w:color w:val="auto"/>
        </w:rPr>
        <w:t>. The NASDAQ Capital Market listing requirements require that independent directors hold regularly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sessions, where only independent directors are present. Under the Companies Law, our independent directors may choose to hold executive sessions at their discretion, but are not required to do so.</w:t>
      </w:r>
    </w:p>
    <w:p>
      <w:pPr>
        <w:spacing w:after="0" w:line="19" w:lineRule="exact"/>
        <w:rPr>
          <w:rFonts w:ascii="Arial" w:cs="Arial" w:eastAsia="Arial" w:hAnsi="Arial"/>
          <w:sz w:val="18"/>
          <w:szCs w:val="18"/>
          <w:color w:val="auto"/>
        </w:rPr>
      </w:pPr>
    </w:p>
    <w:p>
      <w:pPr>
        <w:jc w:val="both"/>
        <w:ind w:left="720" w:right="720" w:hanging="352"/>
        <w:spacing w:after="0" w:line="312"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Third Party Director Compensation</w:t>
      </w:r>
      <w:r>
        <w:rPr>
          <w:rFonts w:ascii="Arial" w:cs="Arial" w:eastAsia="Arial" w:hAnsi="Arial"/>
          <w:sz w:val="16"/>
          <w:szCs w:val="16"/>
          <w:color w:val="auto"/>
        </w:rPr>
        <w:t>. We follow Israeli law requirements with respect to disclosure of compensation for our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Israeli law does not require that we disclose information regarding third party compensation of our directors or director nominees. As a result, our practice varies from the third-party compensation disclosure requirements of the Nasdaq Capital Market.</w:t>
      </w:r>
    </w:p>
    <w:p>
      <w:pPr>
        <w:spacing w:after="0" w:line="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 as stated above, we intend to substantially comply with the rules applicable to U.S. companies listed on the NASDAQ Capital Market. We may in the future decide to avail ourselves of other foreign private issuer exemptions with respect to some or all of the other NASDAQ Capital Market listing requirements from which exemptions are available to foreign private issuers. Following our home country governance practices, as opposed to the requirements that would otherwise apply to a company listed on the NASDAQ Capital Market, may provide less protection than is accorded to investors under the NASDAQ Capital Market listing requirements applicable to domestic issuers.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Mr. Beshar intends to resign from our board on the earlier of: (i) immediately prior to the effectiveness of the registration statement or (ii) June 30, 2018. Following the consummation of this offering, Chaim Davis and David Ben-Ami intend to resign from our board. We therefore expect that our board of directors will consist of five directors. Pursuant to the three month transition period permitted under the Companies Law, within three months following our listing on the NASDAQ Capital Market, we intend to nominate two external directors whose appointment would fulfill the requirements of the Companies Law. See “— External Directors.” In addition, we anticipate that these two directors would qualify as independent directors under the corporate governance standards of the NASDAQ Capital Market listing requirements and the audit committee independence requirements of Rule 10A-3 of the Securities Exchange Act of 1934, as amended, or the Exchange Act. Currently, our director Gerald Lieberman is the only member of our board of directors that satisfies these independence requirements of the NASDAQ Capital Market listing requirements and the Exchange Act.</w:t>
      </w:r>
    </w:p>
    <w:p>
      <w:pPr>
        <w:spacing w:after="0" w:line="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According to our amended Articles, the number of members of our board of directors must be at least three and cannot be more than nine. Our board of directors, other than external directors, will be divided into three classes, with staggered three-year terms and one director class coming up for election each year. The Class I, Class II and Class III directors will serve until our annual meetings of shareholders in 2019, 2020 and 2021, respectively. The members of the classes at the closing of this offering will be divided as follows: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Class I directors are Zeev Bronfeld and Roger Garceau;</w:t>
      </w:r>
    </w:p>
    <w:p>
      <w:pPr>
        <w:spacing w:after="0" w:line="63" w:lineRule="exact"/>
        <w:rPr>
          <w:rFonts w:ascii="Arial" w:cs="Arial" w:eastAsia="Arial" w:hAnsi="Arial"/>
          <w:sz w:val="18"/>
          <w:szCs w:val="18"/>
          <w:color w:val="auto"/>
        </w:rPr>
      </w:pPr>
    </w:p>
    <w:p>
      <w:pPr>
        <w:ind w:left="720" w:hanging="352"/>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Class II directors are Phillip Schwartz and Yonatan Malca; and</w:t>
      </w:r>
    </w:p>
    <w:p>
      <w:pPr>
        <w:spacing w:after="0" w:line="63" w:lineRule="exact"/>
        <w:rPr>
          <w:rFonts w:ascii="Arial" w:cs="Arial" w:eastAsia="Arial" w:hAnsi="Arial"/>
          <w:sz w:val="18"/>
          <w:szCs w:val="18"/>
          <w:color w:val="auto"/>
        </w:rPr>
      </w:pPr>
    </w:p>
    <w:p>
      <w:pPr>
        <w:ind w:left="720" w:hanging="352"/>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Class III director is Gerald Lieberman.</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At each annual meeting of shareholders, directors will be elected to succeed the class of directors whose term has expired. This classification of our board of directors could have the effect of increasing the length of time necessary to change the composition of a majority of the board of directors. In general, at least two annual meetings of shareholders will be necessary for shareholders to effect a change in a majority of the members of the board of directors.</w:t>
      </w:r>
    </w:p>
    <w:p>
      <w:pPr>
        <w:spacing w:after="0" w:line="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board of directors is also authorized to appoint directors in order to fill vacancies, including filling empty board seats if the number of directors is below the maximum number permitted under our amended Articles. Each of our directors, other than our external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Directors</w:t>
      </w:r>
    </w:p>
    <w:p>
      <w:pPr>
        <w:spacing w:after="0" w:line="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Companies Law, companies incorporated under the laws of the States of Israel that are “public companies,” including companies with shares listed on the NASDAQ Capital Market, are generally required to have at least two external directors who meet certain independence criteria to ensure that they are unaffiliated with the company and its controlling shareholder(s). Pursuant to the applicable transition period rules under the Companies Law, our external directors must be elected by our shareholders no later than three months following the completion of this offering.</w:t>
      </w:r>
    </w:p>
    <w:p>
      <w:pPr>
        <w:spacing w:after="0" w:line="6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An external director must also have either financial and accounting expertise or professional qualifications, as defined in regulations promulgated under the Companies Law, and at least one of the external directors is required to have financial and accounting expertise. An external director is entitled to reimbursement of expenses and compensation as provided in regulations promulgated under the Companies Law but is otherwise prohibited from receiving any other compensation from us, directly or indirectly, during his term and for two years thereafter.</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Companies Law, external directors must be elected at a shareholders’ meeting by a simple majority of the votes cast on the matter, provided that such majority includes a majority of the votes cast by non-controlling shareholders and shareholders who do not have a personal interest in the election (excluding a personal interest that did not result from the shareholder’s relationship with the controlling shareholder), unless the votes cast by such shareholders against the election did not exceed 2% of our aggregate voting rights. External directors serve for up to three terms of three years each, and our audit committee and board of directors may nominate them for additional terms under certain circumstances. Even if an external director is not nominated by our board of directors for re-election for a second or third term, shareholders holding at least 1% of our voting rights or the external director may nominate the external director for re-election. In such a case, the re-election can be approved by a majority of the votes cast by non-controlling shareholders and shareholders who do not have a personal interest in the election (excluding a personal interest that did not result from the shareholder’s relationship with the controlling shareholder) and the votes cast by such shareholders approving the election exceed 2% of our aggregate voting rights. A term of an external director may be terminated prior to expiration only by a shareholder vote (by the same threshold required for election), or by a court, but in each case only if the external director ceases to meet the statutory qualifications for election or if the external director violates his duty of loyalty to us.</w:t>
      </w:r>
    </w:p>
    <w:p>
      <w:pPr>
        <w:spacing w:after="0" w:line="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Each committee of a company’s board of directors that is authorized to exercise powers of the board of directors is required to include at least one external director, and all external directors must be members of the company’s audit committee and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board of directors has resolved that at least one of its members must have financial and accounting expertise, as defined in regulations promulgated under the Companies Law. Our board of directors has determined that Gerald Lieberman meets such qualifications.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our board of directors has determined that Gerald Lieberman, who has been nominated to serve on our audit committee, is financially literate as determined in accordance with the NASDAQ Capital Market listing requirements and that Mr. Lieberman is qualified to serve as an “audit committee financial expert” as defined by SEC rules.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Directors</w:t>
      </w:r>
    </w:p>
    <w:p>
      <w:pPr>
        <w:spacing w:after="0" w:line="1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amended Articles provide that, as permitted under Israeli law, any director may appoint another person who is not a director or an alternate director to serve as his or her alternate director, subject to the approval of a majority of the members of the board of directors excluding such director. The term of an alternate director could be terminated at any time by the appointing director or our board of directors and would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Committees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established the following committees: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Committee</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Companies Law, the board of directors of a public company must establish an audit committee. The audit committee must consist of at least three directors who meet certain independence criteria and must include all of the company’s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majority of the directors serving on the audit committee of a publicly traded company must be unaffiliated directors. In general, an “unaffiliated director” under the Companies Law for “public companies,” including companies with shares listed on the NASDAQ Capital Market, is defined as either an external director or as a director who meets the following criteria:</w:t>
      </w:r>
    </w:p>
    <w:p>
      <w:pPr>
        <w:spacing w:after="0" w:line="44" w:lineRule="exact"/>
        <w:rPr>
          <w:sz w:val="20"/>
          <w:szCs w:val="20"/>
          <w:color w:val="auto"/>
        </w:rPr>
      </w:pPr>
    </w:p>
    <w:p>
      <w:pPr>
        <w:ind w:left="720" w:right="740" w:hanging="352"/>
        <w:spacing w:after="0" w:line="277"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 or she meets the primary qualifications for being appointed as an external director, except for the requirements that the director possess accounting and financial expertise or professional qualifications; and</w:t>
      </w:r>
    </w:p>
    <w:p>
      <w:pPr>
        <w:spacing w:after="0" w:line="21" w:lineRule="exact"/>
        <w:rPr>
          <w:rFonts w:ascii="Arial" w:cs="Arial" w:eastAsia="Arial" w:hAnsi="Arial"/>
          <w:sz w:val="18"/>
          <w:szCs w:val="18"/>
          <w:color w:val="auto"/>
        </w:rPr>
      </w:pPr>
    </w:p>
    <w:p>
      <w:pPr>
        <w:ind w:left="720" w:right="540" w:hanging="352"/>
        <w:spacing w:after="0" w:line="264"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subject to extension for additional terms under certain circumstances. For this purpose, a break of less than two years in the service shall not be deemed to interrupt the continuation of the service.</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 the NASDAQ Capital Market listing requirements, we are required to maintain an audit committee consisting of at least three independent directors, each of whom is financially literate and one of whom has accounting or related financial management expertise.</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responsibilities of an audit committee under the Companies Law include identifying and addressing flaws in the management of the company, reviewing and approving interested party transactions, establishing whistleblower procedures, overseeing the company’s internal audit system and the performance of its internal auditor, assessing the scope of work and recommending the fees of the company’s independent accounting firm. In addition, the audit committee is required to determine whether certain related party actions and transactions are “material” or “extraordinary” for the purpose of the requisite approval procedures under the Companies Law and to establish procedures for considering proposed transactions with a controlling shareholder.</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audit committee is also responsible for the appointment (subject to ratification by the board of directors and shareholders),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Upon completion of this offering, our audit committee will initially consist of Gerald Lieberman (Chairman), Zeev Bronfeld and Yonatan Malca. Pursuant to the applicable transition period rules, we anticipate that our audit committee will satisfy the requirements of the Companies Law (subject to shareholder approval of our external directors within three months following the consummation of the offering), the Exchange Act and the NASDAQ Capital Market listing requirements within a period of three months following our listing on the NASDAQ Capital Market. After the applicable transition period of three months, all of the members will be external directors or would be eligible to qualify as independent directors as defined in the Companies Law and all of the members will also be independent as defined in SEC rules and the NASDAQ Capital Market listing requirements.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Committee</w:t>
      </w:r>
    </w:p>
    <w:p>
      <w:pPr>
        <w:spacing w:after="0" w:line="10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Companies Law, the board of directors of a public company must establish a compensation committee. The compensation committee must consist of at least three directors who meet certain independence criteria and must include all of the company’s external directors. The responsibilities of a compensation committee under the Companies Law include recommending to the board of directors, for ultimate shareholder approval by a special majority, a policy governing the compensation of officers and directors based on specified criteria, reviewing modifications to the compensation policy from time to time, reviewing its implementation and approving, if required by the Companies Law, the actual compensation terms of officers and directors prior to approval by the board of directors, under circumstances where board approval is required under the Companies Law.</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Upon completion of this offering, we will have a compensation committee consisting Gerald Lieberman (Chairman), Zeev Bronfeld and Yonatan Malca. Pursuant to the applicable transition period of three months, our compensation committee will satisfy the requirements of the Companies Law (subject to shareholder approval of our external directors within three months following the consummation of the offering), but not the NASDAQ Capital Market listing standards applicable to compensation committees, which the Company has chosen to opt out of as a foreign private issuer. See “— Corporate Governance Practices”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10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Companies Law, the board of directors is required to appoint an internal auditor recommended by the audit committee. The role of the internal auditor is to examine, among other things, whether the company’s actions comply with applicable law and proper business procedures. The internal auditor may not be an interested party, an officer or director of the company, or a relative of any of the foregoing, nor may the internal auditor be our independent accountant or a representative thereof. We intend to appoint an internal auditor following the completion of this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Duties and Approval of Related Party Transactions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Fiduciary Duties of Directors and Officers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Israeli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approval or performed by virtue of his position and other important information pertaining to such action. The duty of loyalty requires the director or officer to act in good faith and for the benefit of the company. The duty of loyalty includes a duty to:</w:t>
      </w:r>
    </w:p>
    <w:p>
      <w:pPr>
        <w:spacing w:after="0" w:line="146" w:lineRule="exact"/>
        <w:rPr>
          <w:sz w:val="20"/>
          <w:szCs w:val="20"/>
          <w:color w:val="auto"/>
        </w:rPr>
      </w:pPr>
    </w:p>
    <w:p>
      <w:pPr>
        <w:ind w:left="720" w:right="960" w:hanging="352"/>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580" w:hanging="352"/>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Approval of Related Party Transactions</w:t>
      </w:r>
    </w:p>
    <w:p>
      <w:pPr>
        <w:spacing w:after="0" w:line="10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Under the Companies Law, a related party transaction may be approved only if it is for the benefit of the company. A transaction that is not an extraordinary transaction in which a director or officer has a personal interest requires the approval of the board of directors, unless the articles of association of the company provide otherwise.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spacing w:after="0" w:line="5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Pursuant to regulations promulgated under the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Approval of Director and Officer Compensation</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Under the Companies Law, we are required to adopt a compensation policy with respect to our directors and officers once every three years, provided however that a compensation policy adopted within nine months from the closing of this offering is valid for five years.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recommendation of our compensation committee, the compensation policy must be approved by our board of directors and shareholders.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Even if shareholders do not approve the compensation policy, the board of directors may resolve to approve the compensation policy, subject to certain conditions. We intend to adopt a compensation policy within nine months from the consummation of this offering.</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general, the compensation terms of directors, the chief executive officer and any employee or service provider who is considered a controlling shareholder must be approved by the compensation committee, the board of directors and the shareholders. Shareholder approval is not required for director compensation payable in cash up to the maximum amount set forth in the regulations governing the compensation of external directors. The compensation terms of other officers who report directly to the chief executive officer require the approval of the compensation committee and the board of directors, subject to certain exceptions.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10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confidentiality, non-competition/non-solicitation and ownership of intellectual property.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under circumstances which deprive the executive officer of severance pay under Israeli law, a breach of trust, or the executive officer’s breach of the terms of confidentiality, non-competition/non-solicitation and ownership of intellectual property provisions of the relevant employment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Officers</w:t>
      </w:r>
    </w:p>
    <w:p>
      <w:pPr>
        <w:spacing w:after="0" w:line="10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External directors may be compensated only in accordance with regulations adopted under the Companies Law. These regulations permit the payment of cash compensation within a specified range, depending on the size of the company, or cash or equity compensation that is consistent with the compensation paid to the other independent directors. We generally do not have any agreement with directors providing for benefits upon termination of their service as directors of our company.</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aggregate compensation paid to all of the members of our directors and senior management was approximately $6.4 million in 2017. This amount includes approximately $4.7 million for share-based compensation and $92,000 set aside or accrued in the aggregate for pension or other retirement benefits for our senior management in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0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to disclose the compensation of our chief executive officer, chief financial officer and other three most highly compensated executive officers on an individual basis. Nevertheless, pursuant to regulations promulgated under the Companies Law, we will be required to disclose the annual compensation of our five most highly compensated office holders, which includes our directors and officers, on an individual basis. Such disclosure will not be as extensive as that required of a U.S. domestic issuer. The following table presents all compensation we incurred for the year ended December 31, 2017 with respect to our five highest paid office holders, in U.S. dollars. The table does not include any amounts we paid to reimburse any of these persons for costs incurred in providing us with services during this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Annual 2017 Compensation</w:t>
            </w:r>
          </w:p>
        </w:tc>
        <w:tc>
          <w:tcPr>
            <w:tcW w:w="1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Retirement,</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Base Salary</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Service Fees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 Other</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and Related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8"/>
              </w:rPr>
              <w:t>Similar</w:t>
            </w:r>
          </w:p>
        </w:tc>
        <w:tc>
          <w:tcPr>
            <w:tcW w:w="150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Share Based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gridSpan w:val="2"/>
          </w:tcPr>
          <w:p>
            <w:pPr>
              <w:ind w:left="1020"/>
              <w:spacing w:after="0"/>
              <w:rPr>
                <w:sz w:val="20"/>
                <w:szCs w:val="20"/>
                <w:color w:val="auto"/>
              </w:rPr>
            </w:pPr>
            <w:r>
              <w:rPr>
                <w:rFonts w:ascii="Arial" w:cs="Arial" w:eastAsia="Arial" w:hAnsi="Arial"/>
                <w:sz w:val="14"/>
                <w:szCs w:val="14"/>
                <w:b w:val="1"/>
                <w:bCs w:val="1"/>
                <w:color w:val="auto"/>
              </w:rPr>
              <w:t>Position</w:t>
            </w:r>
          </w:p>
        </w:tc>
        <w:tc>
          <w:tcPr>
            <w:tcW w:w="1340" w:type="dxa"/>
            <w:vAlign w:val="bottom"/>
            <w:gridSpan w:val="3"/>
          </w:tcPr>
          <w:p>
            <w:pPr>
              <w:jc w:val="center"/>
              <w:ind w:right="120"/>
              <w:spacing w:after="0" w:line="203" w:lineRule="exact"/>
              <w:rPr>
                <w:sz w:val="20"/>
                <w:szCs w:val="20"/>
                <w:color w:val="auto"/>
              </w:rPr>
            </w:pPr>
            <w:r>
              <w:rPr>
                <w:rFonts w:ascii="Arial" w:cs="Arial" w:eastAsia="Arial" w:hAnsi="Arial"/>
                <w:sz w:val="14"/>
                <w:szCs w:val="14"/>
                <w:b w:val="1"/>
                <w:bCs w:val="1"/>
                <w:color w:val="auto"/>
                <w:w w:val="85"/>
              </w:rPr>
              <w:t>Benefits</w:t>
            </w:r>
            <w:r>
              <w:rPr>
                <w:rFonts w:ascii="Arial" w:cs="Arial" w:eastAsia="Arial" w:hAnsi="Arial"/>
                <w:sz w:val="21"/>
                <w:szCs w:val="21"/>
                <w:b w:val="1"/>
                <w:bCs w:val="1"/>
                <w:color w:val="auto"/>
                <w:w w:val="85"/>
                <w:vertAlign w:val="superscript"/>
              </w:rPr>
              <w:t>(1)</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Bonus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Benefits</w:t>
            </w:r>
          </w:p>
        </w:tc>
        <w:tc>
          <w:tcPr>
            <w:tcW w:w="1500" w:type="dxa"/>
            <w:vAlign w:val="bottom"/>
          </w:tcPr>
          <w:p>
            <w:pPr>
              <w:jc w:val="right"/>
              <w:ind w:right="156"/>
              <w:spacing w:after="0" w:line="203"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(2)</w:t>
            </w:r>
          </w:p>
        </w:tc>
        <w:tc>
          <w:tcPr>
            <w:tcW w:w="120" w:type="dxa"/>
            <w:vAlign w:val="bottom"/>
          </w:tcPr>
          <w:p>
            <w:pPr>
              <w:spacing w:after="0"/>
              <w:rPr>
                <w:sz w:val="17"/>
                <w:szCs w:val="17"/>
                <w:color w:val="auto"/>
              </w:rPr>
            </w:pP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Luke M. Beshar</w:t>
            </w:r>
          </w:p>
        </w:tc>
        <w:tc>
          <w:tcPr>
            <w:tcW w:w="12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Chairman of the board of directors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rPr>
              <w:t>294,469</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3,054,263</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3,333,185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Dr. Roger Garceau</w:t>
            </w:r>
          </w:p>
        </w:tc>
        <w:tc>
          <w:tcPr>
            <w:tcW w:w="2640" w:type="dxa"/>
            <w:vAlign w:val="bottom"/>
            <w:gridSpan w:val="2"/>
          </w:tcPr>
          <w:p>
            <w:pPr>
              <w:spacing w:after="0"/>
              <w:rPr>
                <w:sz w:val="20"/>
                <w:szCs w:val="20"/>
                <w:color w:val="auto"/>
              </w:rPr>
            </w:pPr>
            <w:r>
              <w:rPr>
                <w:rFonts w:ascii="Arial" w:cs="Arial" w:eastAsia="Arial" w:hAnsi="Arial"/>
                <w:sz w:val="18"/>
                <w:szCs w:val="18"/>
                <w:color w:val="auto"/>
              </w:rPr>
              <w:t>Chief Development Advisor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0"/>
              <w:spacing w:after="0"/>
              <w:rPr>
                <w:sz w:val="20"/>
                <w:szCs w:val="20"/>
                <w:color w:val="auto"/>
              </w:rPr>
            </w:pPr>
            <w:r>
              <w:rPr>
                <w:rFonts w:ascii="Arial" w:cs="Arial" w:eastAsia="Arial" w:hAnsi="Arial"/>
                <w:sz w:val="18"/>
                <w:szCs w:val="18"/>
                <w:color w:val="auto"/>
              </w:rPr>
              <w:t>120,773</w:t>
            </w:r>
          </w:p>
        </w:tc>
        <w:tc>
          <w:tcPr>
            <w:tcW w:w="120" w:type="dxa"/>
            <w:vAlign w:val="bottom"/>
          </w:tcPr>
          <w:p>
            <w:pPr>
              <w:spacing w:after="0"/>
              <w:rPr>
                <w:sz w:val="18"/>
                <w:szCs w:val="18"/>
                <w:color w:val="auto"/>
              </w:rPr>
            </w:pPr>
          </w:p>
        </w:tc>
        <w:tc>
          <w:tcPr>
            <w:tcW w:w="1500" w:type="dxa"/>
            <w:vAlign w:val="bottom"/>
          </w:tcPr>
          <w:p>
            <w:pPr>
              <w:jc w:val="right"/>
              <w:ind w:right="296"/>
              <w:spacing w:after="0"/>
              <w:rPr>
                <w:sz w:val="20"/>
                <w:szCs w:val="20"/>
                <w:color w:val="auto"/>
              </w:rPr>
            </w:pPr>
            <w:r>
              <w:rPr>
                <w:rFonts w:ascii="Arial" w:cs="Arial" w:eastAsia="Arial" w:hAnsi="Arial"/>
                <w:sz w:val="18"/>
                <w:szCs w:val="18"/>
                <w:color w:val="auto"/>
              </w:rPr>
              <w:t>886,925</w:t>
            </w:r>
          </w:p>
        </w:tc>
        <w:tc>
          <w:tcPr>
            <w:tcW w:w="1300" w:type="dxa"/>
            <w:vAlign w:val="bottom"/>
            <w:gridSpan w:val="2"/>
          </w:tcPr>
          <w:p>
            <w:pPr>
              <w:jc w:val="right"/>
              <w:ind w:right="139"/>
              <w:spacing w:after="0"/>
              <w:rPr>
                <w:sz w:val="20"/>
                <w:szCs w:val="20"/>
                <w:color w:val="auto"/>
              </w:rPr>
            </w:pPr>
            <w:r>
              <w:rPr>
                <w:rFonts w:ascii="Arial" w:cs="Arial" w:eastAsia="Arial" w:hAnsi="Arial"/>
                <w:sz w:val="18"/>
                <w:szCs w:val="18"/>
                <w:color w:val="auto"/>
              </w:rPr>
              <w:t>1,000,925</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Executive Officer and</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Phillip Schwartz</w:t>
            </w: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6"/>
              </w:rPr>
              <w:t>300,791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44,497</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120,240</w:t>
            </w: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615,528</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Gerald Lieberman</w:t>
            </w:r>
          </w:p>
        </w:tc>
        <w:tc>
          <w:tcPr>
            <w:tcW w:w="2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0"/>
              <w:spacing w:after="0"/>
              <w:rPr>
                <w:sz w:val="20"/>
                <w:szCs w:val="20"/>
                <w:color w:val="auto"/>
              </w:rPr>
            </w:pPr>
            <w:r>
              <w:rPr>
                <w:rFonts w:ascii="Arial" w:cs="Arial" w:eastAsia="Arial" w:hAnsi="Arial"/>
                <w:sz w:val="18"/>
                <w:szCs w:val="18"/>
                <w:color w:val="auto"/>
              </w:rPr>
              <w:t>17,940</w:t>
            </w:r>
          </w:p>
        </w:tc>
        <w:tc>
          <w:tcPr>
            <w:tcW w:w="120" w:type="dxa"/>
            <w:vAlign w:val="bottom"/>
          </w:tcPr>
          <w:p>
            <w:pPr>
              <w:spacing w:after="0"/>
              <w:rPr>
                <w:sz w:val="20"/>
                <w:szCs w:val="20"/>
                <w:color w:val="auto"/>
              </w:rPr>
            </w:pPr>
          </w:p>
        </w:tc>
        <w:tc>
          <w:tcPr>
            <w:tcW w:w="1500" w:type="dxa"/>
            <w:vAlign w:val="bottom"/>
          </w:tcPr>
          <w:p>
            <w:pPr>
              <w:jc w:val="right"/>
              <w:ind w:right="296"/>
              <w:spacing w:after="0"/>
              <w:rPr>
                <w:sz w:val="20"/>
                <w:szCs w:val="20"/>
                <w:color w:val="auto"/>
              </w:rPr>
            </w:pPr>
            <w:r>
              <w:rPr>
                <w:rFonts w:ascii="Arial" w:cs="Arial" w:eastAsia="Arial" w:hAnsi="Arial"/>
                <w:sz w:val="18"/>
                <w:szCs w:val="18"/>
                <w:color w:val="auto"/>
              </w:rPr>
              <w:t>482,177</w:t>
            </w:r>
          </w:p>
        </w:tc>
        <w:tc>
          <w:tcPr>
            <w:tcW w:w="1300" w:type="dxa"/>
            <w:vAlign w:val="bottom"/>
            <w:gridSpan w:val="2"/>
          </w:tcPr>
          <w:p>
            <w:pPr>
              <w:jc w:val="right"/>
              <w:ind w:right="139"/>
              <w:spacing w:after="0"/>
              <w:rPr>
                <w:sz w:val="20"/>
                <w:szCs w:val="20"/>
                <w:color w:val="auto"/>
              </w:rPr>
            </w:pPr>
            <w:r>
              <w:rPr>
                <w:rFonts w:ascii="Arial" w:cs="Arial" w:eastAsia="Arial" w:hAnsi="Arial"/>
                <w:sz w:val="18"/>
                <w:szCs w:val="18"/>
                <w:color w:val="auto"/>
              </w:rPr>
              <w:t>500,117</w:t>
            </w:r>
          </w:p>
        </w:tc>
        <w:tc>
          <w:tcPr>
            <w:tcW w:w="0" w:type="dxa"/>
            <w:vAlign w:val="bottom"/>
          </w:tcPr>
          <w:p>
            <w:pPr>
              <w:spacing w:after="0"/>
              <w:rPr>
                <w:sz w:val="1"/>
                <w:szCs w:val="1"/>
                <w:color w:val="auto"/>
              </w:rPr>
            </w:pPr>
          </w:p>
        </w:tc>
      </w:tr>
      <w:tr>
        <w:trPr>
          <w:trHeight w:val="431"/>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-1234440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-1234440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-1234440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-1234440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-1234440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-1234440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Annual 2017 Compensation</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6"/>
              </w:rPr>
              <w:t>Retirement,</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Base Salary</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 Fees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Other</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and Related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Similar</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 Based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3020" w:type="dxa"/>
            <w:vAlign w:val="bottom"/>
            <w:gridSpan w:val="2"/>
          </w:tcPr>
          <w:p>
            <w:pPr>
              <w:ind w:left="1200"/>
              <w:spacing w:after="0"/>
              <w:rPr>
                <w:sz w:val="20"/>
                <w:szCs w:val="20"/>
                <w:color w:val="auto"/>
              </w:rPr>
            </w:pPr>
            <w:r>
              <w:rPr>
                <w:rFonts w:ascii="Arial" w:cs="Arial" w:eastAsia="Arial" w:hAnsi="Arial"/>
                <w:sz w:val="14"/>
                <w:szCs w:val="14"/>
                <w:b w:val="1"/>
                <w:bCs w:val="1"/>
                <w:color w:val="auto"/>
              </w:rPr>
              <w:t>Position</w:t>
            </w:r>
          </w:p>
        </w:tc>
        <w:tc>
          <w:tcPr>
            <w:tcW w:w="1360" w:type="dxa"/>
            <w:vAlign w:val="bottom"/>
            <w:gridSpan w:val="2"/>
          </w:tcPr>
          <w:p>
            <w:pPr>
              <w:jc w:val="center"/>
              <w:ind w:right="120"/>
              <w:spacing w:after="0" w:line="203" w:lineRule="exact"/>
              <w:rPr>
                <w:sz w:val="20"/>
                <w:szCs w:val="20"/>
                <w:color w:val="auto"/>
              </w:rPr>
            </w:pPr>
            <w:r>
              <w:rPr>
                <w:rFonts w:ascii="Arial" w:cs="Arial" w:eastAsia="Arial" w:hAnsi="Arial"/>
                <w:sz w:val="14"/>
                <w:szCs w:val="14"/>
                <w:b w:val="1"/>
                <w:bCs w:val="1"/>
                <w:color w:val="auto"/>
                <w:w w:val="88"/>
              </w:rPr>
              <w:t>Benefits</w:t>
            </w:r>
            <w:r>
              <w:rPr>
                <w:rFonts w:ascii="Arial" w:cs="Arial" w:eastAsia="Arial" w:hAnsi="Arial"/>
                <w:sz w:val="21"/>
                <w:szCs w:val="21"/>
                <w:b w:val="1"/>
                <w:bCs w:val="1"/>
                <w:color w:val="auto"/>
                <w:w w:val="88"/>
                <w:vertAlign w:val="superscript"/>
              </w:rPr>
              <w:t>(1)</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Bonus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Benefits</w:t>
            </w:r>
          </w:p>
        </w:tc>
        <w:tc>
          <w:tcPr>
            <w:tcW w:w="1220" w:type="dxa"/>
            <w:vAlign w:val="bottom"/>
          </w:tcPr>
          <w:p>
            <w:pPr>
              <w:jc w:val="center"/>
              <w:spacing w:after="0" w:line="203"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21"/>
                <w:szCs w:val="21"/>
                <w:b w:val="1"/>
                <w:bCs w:val="1"/>
                <w:color w:val="auto"/>
                <w:w w:val="89"/>
                <w:vertAlign w:val="superscript"/>
              </w:rPr>
              <w:t>(2)</w:t>
            </w:r>
          </w:p>
        </w:tc>
        <w:tc>
          <w:tcPr>
            <w:tcW w:w="12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3"/>
        </w:trPr>
        <w:tc>
          <w:tcPr>
            <w:tcW w:w="25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Dr. Hillel Galitzer</w:t>
            </w:r>
          </w:p>
        </w:tc>
        <w:tc>
          <w:tcPr>
            <w:tcW w:w="10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Chief Operating Officer</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$201,749</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2"/>
              <w:spacing w:after="0" w:line="182" w:lineRule="exact"/>
              <w:rPr>
                <w:sz w:val="20"/>
                <w:szCs w:val="20"/>
                <w:color w:val="auto"/>
              </w:rPr>
            </w:pPr>
            <w:r>
              <w:rPr>
                <w:rFonts w:ascii="Arial" w:cs="Arial" w:eastAsia="Arial" w:hAnsi="Arial"/>
                <w:sz w:val="18"/>
                <w:szCs w:val="18"/>
                <w:color w:val="auto"/>
              </w:rPr>
              <w:t>60,000</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24,808</w:t>
            </w: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58,211</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119"/>
              <w:spacing w:after="0" w:line="182" w:lineRule="exact"/>
              <w:rPr>
                <w:sz w:val="20"/>
                <w:szCs w:val="20"/>
                <w:color w:val="auto"/>
              </w:rPr>
            </w:pPr>
            <w:r>
              <w:rPr>
                <w:rFonts w:ascii="Arial" w:cs="Arial" w:eastAsia="Arial" w:hAnsi="Arial"/>
                <w:sz w:val="18"/>
                <w:szCs w:val="18"/>
                <w:color w:val="auto"/>
              </w:rPr>
              <w:t>344,768</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-128270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-128270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-128270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-128270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-128270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-128270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-128270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44" w:lineRule="exact"/>
        <w:rPr>
          <w:sz w:val="20"/>
          <w:szCs w:val="20"/>
          <w:color w:val="auto"/>
        </w:rPr>
      </w:pPr>
    </w:p>
    <w:p>
      <w:pPr>
        <w:ind w:left="360" w:right="620" w:hanging="352"/>
        <w:spacing w:after="0" w:line="308" w:lineRule="auto"/>
        <w:tabs>
          <w:tab w:leader="none" w:pos="3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Includes base salary, social benefits and car allowances. The amounts shown in this column represent expenses recorded or to be recorded by the Company, calculated using the average monthly exchange rates of the relevant month in which the salary was recorded.</w:t>
      </w:r>
    </w:p>
    <w:p>
      <w:pPr>
        <w:spacing w:after="0" w:line="38" w:lineRule="exact"/>
        <w:rPr>
          <w:rFonts w:ascii="Arial" w:cs="Arial" w:eastAsia="Arial" w:hAnsi="Arial"/>
          <w:sz w:val="17"/>
          <w:szCs w:val="17"/>
          <w:color w:val="auto"/>
        </w:rPr>
      </w:pPr>
    </w:p>
    <w:p>
      <w:pPr>
        <w:ind w:left="360" w:right="660" w:hanging="352"/>
        <w:spacing w:after="0" w:line="277" w:lineRule="auto"/>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shown in this column represents expenses recorded or to be recorded with respect to all options granted to such officers, calculated using the actual exchange rate on the grant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10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On March 17, 2013, our board of directors approved our Share Incentive Plan, or the 2013 Plan, for the granting of stock options, restricted share units, restricted share awards and performance-based awards, in order to provide incentives to our employees, directors, consultants and/or service providers. As of March 31, 2018 and without giving effect to the ordinary share split described in this prospectus, a total of 651 ordinary shares remained available for issuance under the 2013 Plan. As of that date and without giving effect to the ordinary share split described in this prospectus, 24,509 ordinary shares were issuable upon the exercise of outstanding awards under the 2013 Plan, at a weighted-average exercise price of $601.54 per share. Of the foregoing outstanding awards, options to purchase 12,755 ordinary shares, in the aggregate, had vested under the 2013 Plan as of that date, with a weighted-average</w:t>
      </w:r>
    </w:p>
    <w:p>
      <w:pPr>
        <w:spacing w:after="0" w:line="5"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exercise price of $426.86</w:t>
      </w:r>
      <w:r>
        <w:rPr>
          <w:sz w:val="20"/>
          <w:szCs w:val="20"/>
          <w:color w:val="auto"/>
        </w:rPr>
        <w:tab/>
      </w:r>
      <w:r>
        <w:rPr>
          <w:rFonts w:ascii="Arial" w:cs="Arial" w:eastAsia="Arial" w:hAnsi="Arial"/>
          <w:sz w:val="16"/>
          <w:szCs w:val="16"/>
          <w:color w:val="auto"/>
        </w:rPr>
        <w:t>per share (and without giving effect to the ordinary share split described in this prospectus).</w:t>
      </w:r>
    </w:p>
    <w:p>
      <w:pPr>
        <w:spacing w:after="0" w:line="103"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Awards granted under the 2013 Plan are subject to vesting schedules and generally vest over a four-year period commencing from the applicable grant date, such that 25% of the awards vest on the first anniversary of the applicable grant date and 75% of the awards vest in 12 equal installments upon the lapse of each three-month period following the first anniversary of the applicable grant date. Subject to the discretion of the 2013 Plan administrator, if an award has not been exercised within six years after the date of the grant, the award expires. Any period in which a grantee is not our employee or has taken a leave of absence will not be included in such vesting period.</w:t>
      </w:r>
    </w:p>
    <w:p>
      <w:pPr>
        <w:spacing w:after="0" w:line="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2013 Plan provides for granting awards in compliance with Section 102 of the Israeli Income Tax Ordinance, 5721-1961, or the Ordinance, which provides to employees, directors and officers, who are not controlling shareholders (as defined in the Ordinance) and are Israeli residents, favorable tax treatment for compensation in the form of shares or equity awards issued or granted, as applicable, to a trustee under the “capital gains track” for the benefit of the relevant employee, director or officer and are, or were, to be held by the trustee for at least two years after the date of grant or issuance. Under the capital gains track, any accounting expense with respect to the grant or issuance of such shares or awards which relates to gain taxed as capital gains is not allowed as a deduction for tax purposes.</w:t>
      </w:r>
    </w:p>
    <w:p>
      <w:pPr>
        <w:spacing w:after="0" w:line="8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2013 Plan addresses the treatment of vested and unvested awards upon the cessation of employment or engagement of the award holder as well as upon consummation of a merger, consolidation or similar transaction, or sale of all or substantially all of our assets or sale of at least 80% of our outstanding securities. The 2013 Plan also provides for certain lock-up arrangements upon consummation of a public offering.</w:t>
      </w:r>
    </w:p>
    <w:p>
      <w:pPr>
        <w:spacing w:after="0" w:line="5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2013 Plan is administered by our board of directors or by a committee appointed by our board of directors. Upon the completion of this offering, any remaining pool of reserved ordinary shares under the 2013 Plan will be cancelled, and the only reserved ordinary shares available for grants following the completion of this offering will be under the 2018 Plan (as defined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08"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In connection with the completion of this offering, we intend to establish a new equity incentive plan, or the 2018 Plan, with the purpose of advancing the interests of our shareholders by enhancing our ability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attract, retain and motivate individuals to perform at the highest level. The 2018 Plan will govern issuances of equity incentive awards from and after the closing of this offering. The maximum number of ordinary shares initially available for issuance under equity incentive awards granted pursuant to the 2018 Plan will not exceed 12% of the total outstanding ordinary shares. On January 1, 2019 and on January 1 of each calendar year thereafter, an additional number of shares equal to 5% of the total outstanding ordinary shares on such date (or any lower number of shares as determined by the board of directors) will become available for issuance under the 2018 Plan.</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vesting conditions for grants under the 2018 Plan will be determined by the administrator and, in the case of restricted shares and restricted share units, will be set forth in the applicable award documentation.</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2018 Plan will be administered by the board of directors, provided that the board of directors may delegate its authority to the compensation committee to administer the 2018 Plan.</w:t>
      </w:r>
    </w:p>
    <w:p>
      <w:pPr>
        <w:spacing w:after="0" w:line="6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2018 Plan provides for granting awards in compliance with Section 102 of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following is a description of related party transactions we have entered into since March 1, 2012 with any of our directors, executive officers and holders of more than 5% of our ordinary shares. Ordinary share amounts referenced in this section do not reflect the ordinary share split described in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Financing</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2012 Convertible Loans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2012 and December 31, 2012, we entered into the 2012 Convertible Loans, with D.N.A Biomedical, and the lenders thereto, including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Revach Fund L.P., or Revach, an entity controlled by our director Chaim Davis, and Europa International Inc., who later transferred its shares to Gakasa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Holdings LLC, or Gakasa. The lenders loaned us an aggregate amount of $1.2 million, of which Revach loaned us $100,000, and Gakasa loaned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$550,000. Pursuant to the 2012 Convertible Loans, each of the loans bears interest at a rate of 0.6% per year, payable in five-year intervals, and matures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term of 20 years, subject to the conversion rights noted below. Each of the lenders has the right during the term to convert all of its respective loan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our ordinary shares at a conversion price of $240.26 per ordinary share (subject to adjustment as detailed in the agreements governing the 2012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Convertible Loans). In addition, under the terms of the 2012 Convertible Loans, the outstanding loan amounts will be automatically converted into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upon the occurrence of certain events, including in connection with the closing of this offering. In addition, pursuant to the terms of the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Loans the lenders were granted piggyback registration rights, which were subsequently set forth in our investors’ rights agreement as described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 in “Shares Eligible for Future Sale — Registration Rights.”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2015 Convertible Loan</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a 2015 Triggering Event into the equity securities and/or securities convertible into equity securities of the Company that were issued in such a transaction, at a 25% discount.</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the Company issued to each lender under the 2015 Convertible Loan the 2015 Warrants to purchase, at an exercise price of 125% of the applicable price per share, an additional 40% of the amount of our securities that would have been issued to such lender as a result of the automatic conversion following a 2015 Triggering Event. The 2015 Warrants were exercisable during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 and as a result, the 2015 Convertible Loan agreement is no longer in force.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One of our directors, Gerald Lieberman, participated in the 2015 Convertible Loan in an amount of $50,000, which rolled-over to the 2016 Convertible Loan.</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2016 Convertible Loan</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2016 Convertible Loan was to be automatically converted upon the occurrence of a 2016 Triggering Event. Following the completion of the Series B preferred shares purchase agreement, which constituted a 2016 Triggering Event, the loan amount, together with all accrued interest was converted into Series B-1</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preferred shares, under the terms and conditions of the 2016 Convertible Loan. As a result, the 2016 Convertible Loan agreement is no longer in force. In addition, the Series B preferred shares purchase agreement set the price and the amounts for which the holders of the 2016 Warrants are entitled to exercise their 2016 Warrants. In addition, the Company issued to each lender under the 2016 Convertible Loan warrants to purchase an additional 40% of the amount of our securities issued to such lender as a result of the automatic conversion following a 2016 Triggering Event.</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directors, Luke Beshar, Roger Garceau and Gerald Lieberman, each participated, in amounts of $50,000, $25,000 and $50,000, respectively, in our 2016 Convertible Loan. In addition, Corundum Open Innovation Fund, L.P., or Corundum, of which David Ben Ami, a member of our board of directors, is the managing partner, invested an amount of $1 million in our 2016 Convertible Loan. Following the conversion of the 2016 Convertible Loans, Luke Beshar, Roger Garceau and Gerald Lieberman were issued 77, 38 and 156 Series B-1 preferred shares, respectively, and their 2016 Warrants relate to 31, 15 and 62 Series B preferred shares, respectively. In addition, following the conversion of the 2016 Convertible Loans, Corundum was issued 1,563 Series B-1 preferred shares and its 2016 Warrants relate to 625 Series B preferred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 Purchases</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November 2012, we issued to D.N.A Biomedical 2,078 ordinary shares in consideration of $500,000, of which $445,000 represented the cancellation of debt we owed to D.N.A Biomedical. The remaining $55,000 was paid to us in cash.</w:t>
      </w:r>
    </w:p>
    <w:p>
      <w:pPr>
        <w:spacing w:after="0" w:line="6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September 30, 2013, we entered into share purchase agreements, or the ordinary share purchase agreements, with our director Chaim Davis, Revach and Europa International Inc., who later transferred its shares to Gakasa. Pursuant to the ordinary share purchase agreements, Mr. Davis, Revach and Gakasa purchased 91, 365, and 1,369 of our ordinary shares, respectively, for aggregate purchase prices of $25,000, $100,000 and $375,000,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Purchases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Series A Private Placement</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January 29, 2014, we entered into a Series A preferred share purchase agreement with the Centillion Fund, or Centillion, or the Centillion preferred share purchase agreement, pursuant to which Centillion purchased 4,172 of our Series A preferred shares, for a purchase price of $2.0 million or $479.38 per share, or the per share purchase price, and we issued to Centillion a warrant to purchase up to 1,043 of our applicable shares (as discussed below in “Description of Share Capital — Warrants”) at the per share purchase price. Pursuant to the terms of the Centillion preferred share purchase agreement, upon our filing of a registration statement for an initial public offering with the SEC on or prior to June 29, 2014, or the first milestone, Centillion was required to purchase from us an additional 4,172 Series A preferred shares at the per share purchase price (for additional proceeds to us of $2.0 million), and we were required to issue to Centillion a warrant to purchase an additional 1,043 applicable shares at the per share purchase price. In addition, pursuant to the Centillion preferred share purchase agreement, as amended, upon the closing of an offering of our ordinary shares on or prior to July 20, 2019, pursuant to which our ordinary shares are listed on NASDAQ, or the second milestone, Centillion was given the option to purchase from us, at its sole discretion, an additional 2,086 Series A preferred shares at the per share purchase price (for additional proceeds to us of $1.0 million), and we were required to issue to Centillion a warrant to purchase an additional 522 Series A preferred shares at the per share purchase price. Centillion also had the right to purchase the Series A preferred shares and warrants to be issued upon either of the milestones prior to the last milestone date.</w:t>
      </w:r>
    </w:p>
    <w:p>
      <w:pPr>
        <w:spacing w:after="0" w:line="6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18, 2014, Centillion and we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January 21, 2015, Centillion and we entered into the second amendment to the Centillion preferred share purchase agreement, or the second amendment. Pursuant to the terms of second amendment,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Centillion exercised its right to purchase the Series A preferred shares and warrant to be issued upon the first milestone and paid us $2.0 million, although as of such date this milestone had not been achieved. The second milestone was also extended to October 1, 2015, with an option for Centillion to extend it for an additional two years, until October 1, 2017. Such option right was exercised by Centillion. In consideration therefor, we issued to Centillion an additional warrant, or the additional Centillion warrant, as described below in “Description of Share Capital — Additional Warrants.” On July 20, 2017, the Centillion Series A preferred share purchase agreement was amended such that (i) the second milestone was extended to July 20, 2019, (ii) the second milestone was deemed to include any transaction pursuant to which our shares will be listed for trading on NASDAQ, and (iii) the investment following the occurrence of the second milestone is optional to the holders of Series A preferred shares.</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course of 2014 and January 2015, we entered into additional preferred share purchase agreements with other purchasers of our Series A preferred shares. The additional preferred share purchase agreements also provide for the issuance of Series A preferred shares and warrants upon the achievement of those milestones set forth in the Centillion preferred share purchase agreement on terms substantially identical to those contained in the Centillion preferred share purchase agreement. In March 2015, we entered into the first amendment to each of the additional preferred share purchase agreements, which contained terms substantially identical to those contained in the second amendment to the Centillion preferred share purchase agreement. We also issued to these additional Series A preferred shareholders warrants upon terms substantially identical to those contained in the additional Centillion warrant, or together with the additional Centillion warrant, the additional warrants. In July 2017, the additional Series A preferred share purchase agreements were amended to terms identical to those contained in the amendment to the Centillion Series A preferred share purchase agreement dated July 20, 2017, and the additional warrants terms were amended to the same terms as the additional warrants of Centillion.</w:t>
      </w:r>
    </w:p>
    <w:p>
      <w:pPr>
        <w:spacing w:after="0" w:line="7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any Series A investors exercise their option to purchase Series A preferred shares pursuant to the second milestone in connection with this offering, such shares shall be converted into ordinary shares automatically and without any further action on the part of such investors, and any warrants provided in connection therewith shall be exercisable into ordinary shares.</w:t>
      </w:r>
    </w:p>
    <w:p>
      <w:pPr>
        <w:spacing w:after="0" w:line="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Under the terms of the applicable agreements and pursuant to the IPO Transactions, the Series A preferred shares will be automatically converted into our ordinary shares, and the warrants to purchase Series A preferred shares will be automatically converted into warrants to purchase ordinary shares, upon the closing of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Private Placement</w:t>
      </w:r>
    </w:p>
    <w:p>
      <w:pPr>
        <w:spacing w:after="0" w:line="1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From October to December 2017, we entered into the Series B Private Placement, with certain investors, including D.N.A Biomedical and Centillion for the sale of shares of our Series B preferred shares, at a price per share of $908.78, for an aggregate purchase price of $13.0 million. In connection with the Series B Private Placement, the Company issued and sold to the Investors 14,283 Series B preferred shares.</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Series B Private Placement constituted a 2016 Triggering Event, as defined in the 2016 Convertible Loan agreement (as discussed further under “Management’s Discussion and Analysis — Contractual Obligations and Commitments — 2016 Convertible Loan”). As a result of the Series B Private Placement, the entire loan amount due to holders under the 2016 Convertible Loan agreement, together with all accrued interest, was converted to 13,229 Series B-1 preferred shares at a price per share of $681.585. The rights of the Series B-1 preferred shares are identical in all respects (other than the price per share) to the Series B preferred shares.</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the applicable agreements and pursuant to the IPO Transactions, the Series B and B-1 preferred shares will be automatically converted into our ordinary shares, and the warrants to purchase Series B preferred shares will be automatically converted into warrants to purchase ordinary shares, upon the closing of this offering.</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as a result of the Series B Private Placement, the 2016 Warrants (as discussed in “Description of Share Capital — 2016 Warrants”) that the Company previously issued in connection with the 2016 Convertible Loan became warrants to purchase our Series B preferred shares at an exercise price of $908.78.</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Gerald Lieberman, a member of our board of directors, participated in the Series B Private Placement and purchased 110 Series B preferred shares in an amount totaling $100,000. Revach, an entity controlled by our director Chaim Davis, participated in the Series B Private Placement and purchased 14 Series B preferred shares in an amount totaling $12,726. Dr. Phillip Schwartz, our Chief Executive Officer, participated in the Series B Private Placement and purchased 6 Series B preferred shares in an amount of $5,542.</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10, 2017, the Company’s board of directors approved D.N.A Biomedical’s request to reimburse D.N.A Biomedical for expenses incurred in relation to the Series B private placement in an amount of $300,000. The reimbursement is subject to the approval of the Company’s shareholders and to the receipt of documentation supporting the amounts.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108"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 April 2017, the Company entered into a Service Agreement with our director Luke Beshar, effective as of December 2016, pursuant to which Mr. Beshar will be entitled to a monthly fee in the amount of $21,500 per month, and to reimbursements for certain expenses. In addition, the Company’s Board and shareholders approved the Service Agreement, pursuant to which Mr. Beshar is entitled to options to purchase ordinary shares of the Company representing</w:t>
      </w:r>
    </w:p>
    <w:p>
      <w:pPr>
        <w:ind w:right="20"/>
        <w:spacing w:after="0" w:line="252" w:lineRule="auto"/>
        <w:rPr>
          <w:sz w:val="20"/>
          <w:szCs w:val="20"/>
          <w:color w:val="auto"/>
        </w:rPr>
      </w:pPr>
      <w:r>
        <w:rPr>
          <w:rFonts w:ascii="Arial" w:cs="Arial" w:eastAsia="Arial" w:hAnsi="Arial"/>
          <w:sz w:val="18"/>
          <w:szCs w:val="18"/>
          <w:color w:val="auto"/>
        </w:rPr>
        <w:t>6.5%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Beshar upon the exercise of his options will be 6,970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Beshar for Good Reason and termination without Cause (as such terms are defined in the Service Agreement).</w:t>
      </w:r>
    </w:p>
    <w:p>
      <w:pPr>
        <w:spacing w:after="0" w:line="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April 2017, effective as of December 2016, the Company entered into a Service Agreement with our director Roger Garceau, pursuant to which Mr. Garceau will be entitled to a monthly fee in the amount of $6,500 per month, and to reimbursements for certain expenses. In addition, the Company’s Board and shareholders approved the Service Agreement, pursuant to which Mr. Garceau is entitled to options to purchase ordinary shares of the Company representing 1.5%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Garceau upon the exercise of his options will be 1,608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Garceau for Good Reason and termination without Cause (as such terms are defined in the Service Agreement).</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an arrangement between us and Chaim Davis, a member of our board of directors, Mr. Davis provides us with certain services related to corporate business development in consideration for a one-time payment of $25,000 paid in April 2017 and $6,500 per month. In addition, in November 2017, our board of directors and shareholders approved a bonus of $35,000, which was paid to Mr. Davis in December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certain of our shareholders and certain lenders under our 2012 Convertible Loan have entered into an amended and restated investors’ rights agreement dated as of October 4, 2017, or the Investors’ Rights Agreement, pursuant to which these shareholders and lenders will have the right, following the closing of this offering, to demand that we file a registration statement or to request that their shares be covered by a registration statement that we are otherwise filing. See “Shares Eligible for Future Sale — Registration Rights” for a further description of these arrangements.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Designation Rights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of the Investors’ Rights Agreement among us, Centillion and other parties thereto, following the consummation of this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9.96% of our issued and outstanding ordinary shares, and in the event that Centillion exercises in full all of the warrants to purchase our ordinary shares that we will have issued to it as of such date, Centillion will hold approximately 17.6% of our issued and outstanding ordinary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Centillion Special Pre-emptive Rights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terms of our current Articles, if we issue any equity interests to new investors that are not already our shareholders and subject to certain other conditions, Centillion is entitled to purchase, at any time until the second milestone date, which is defined to include this offering, 18.18% of the number of equity interests issued in such financings, at the same price per equity interest paid by the new shareholders (“Centillion special pre-emptive rights”). The Centillion Special Pre-emptive Right are not exercisable in connection with this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08"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We have entered into indemnification agreements with each of our executive officers and directors. We also maintain an insurance policy that covers liabilities of our directors and officers arising out of claims based on acts or omissions in their capacities as directors or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1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entered into employment agreements with our executive officers, which provide for, among other things, position, duties and compensation and benefits payable during the terms of employment and include certain restrictive covenants. See “Management — Employment Agreements with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“Management — Fiduciary Duties and Approval of Related Party Transactions” for a discussion of procedures governing the approval of related party transactions.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PRINCIPAL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March 31, 2018, by:</w:t>
      </w:r>
    </w:p>
    <w:p>
      <w:pPr>
        <w:spacing w:after="0" w:line="185" w:lineRule="exact"/>
        <w:rPr>
          <w:sz w:val="20"/>
          <w:szCs w:val="20"/>
          <w:color w:val="auto"/>
        </w:rPr>
      </w:pPr>
    </w:p>
    <w:p>
      <w:pPr>
        <w:ind w:left="720" w:hanging="35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ordinary shares;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and all of our directors and executive officers as a group.</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percentage of shares beneficially owned prior to the offering is based on 10,018,320 ordinary shares outstanding, after giving effect to the 1-for-130 split of our ordinary shares that is described elsewhere in this prospectus, as of March 31, 2018, including:</w:t>
      </w:r>
    </w:p>
    <w:p>
      <w:pPr>
        <w:spacing w:after="0" w:line="143" w:lineRule="exact"/>
        <w:rPr>
          <w:sz w:val="20"/>
          <w:szCs w:val="20"/>
          <w:color w:val="auto"/>
        </w:rPr>
      </w:pPr>
    </w:p>
    <w:p>
      <w:pPr>
        <w:ind w:left="720" w:right="660" w:hanging="352"/>
        <w:spacing w:after="0" w:line="277"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4,905,420 ordinary shares to be issued upon the conversion of all outstanding preferred shares into ordinary shares upon the closing of this offering;</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and 622,180 ordinary shares to be issued upon the conversion into ordinary shares of our outstanding convertible loan.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percentage of beneficial ownership of our ordinary shares after the offering is based on 11,361,654 ordinary shares outstanding after the offering which includes the ordinary shares specified above plus the ordinary shares to be sold by us in the offering plus the 10,000 ordinary shares to be issued to the representative immediately following this offering, but not including any additional shares issuable upon exercise by Centillion of the Centillion special pre-emptive rights, which rights are not exercisable in connection with this offering.</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Upon the consummation of this offering, outstanding preferred shares shall be converted into ordinary shares on a one-to-one basis automatically and without any further action on the part of such investors, and any warrants that will be outstanding following the closing of this offering shall be exercisable into ordinary shares. See “Description of Share Capital — Articles of Association — Voting.” Neither our principal shareholders nor our directors and executive officers have different or special voting rights.</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Unless otherwise indicated, the address for each listed director and executive officer is c/o Entera Bio Ltd., Kiryat Hadassah, Minrav Building — Fifth Floor, Jerusalem 9112002, Israel. To our knowledge, except as indicated in the footnotes to this table and pursuant to applicable community property laws, the persons named in the table have sole voting and investment power with respect to all ordinary shares.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Beneficial Owner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D.N.A Biomedical Solutions Ltd</w:t>
      </w:r>
      <w:r>
        <w:rPr>
          <w:rFonts w:ascii="Arial" w:cs="Arial" w:eastAsia="Arial" w:hAnsi="Arial"/>
          <w:sz w:val="27"/>
          <w:szCs w:val="27"/>
          <w:color w:val="auto"/>
          <w:vertAlign w:val="superscript"/>
        </w:rPr>
        <w:t>(2)</w:t>
      </w:r>
    </w:p>
    <w:p>
      <w:pPr>
        <w:spacing w:after="0" w:line="219" w:lineRule="auto"/>
        <w:rPr>
          <w:sz w:val="20"/>
          <w:szCs w:val="20"/>
          <w:color w:val="auto"/>
        </w:rPr>
      </w:pPr>
      <w:r>
        <w:rPr>
          <w:rFonts w:ascii="Arial" w:cs="Arial" w:eastAsia="Arial" w:hAnsi="Arial"/>
          <w:sz w:val="18"/>
          <w:szCs w:val="18"/>
          <w:color w:val="auto"/>
        </w:rPr>
        <w:t>Centillion Fund</w:t>
      </w:r>
      <w:r>
        <w:rPr>
          <w:rFonts w:ascii="Arial" w:cs="Arial" w:eastAsia="Arial" w:hAnsi="Arial"/>
          <w:sz w:val="27"/>
          <w:szCs w:val="27"/>
          <w:color w:val="auto"/>
          <w:vertAlign w:val="superscript"/>
        </w:rPr>
        <w:t>(3)</w:t>
      </w:r>
    </w:p>
    <w:p>
      <w:pPr>
        <w:spacing w:after="0" w:line="1" w:lineRule="exact"/>
        <w:rPr>
          <w:sz w:val="20"/>
          <w:szCs w:val="20"/>
          <w:color w:val="auto"/>
        </w:rPr>
      </w:pPr>
    </w:p>
    <w:p>
      <w:pPr>
        <w:ind w:left="180" w:hanging="179"/>
        <w:spacing w:after="0" w:line="228" w:lineRule="auto"/>
        <w:rPr>
          <w:sz w:val="20"/>
          <w:szCs w:val="20"/>
          <w:color w:val="auto"/>
        </w:rPr>
      </w:pPr>
      <w:r>
        <w:rPr>
          <w:rFonts w:ascii="Arial" w:cs="Arial" w:eastAsia="Arial" w:hAnsi="Arial"/>
          <w:sz w:val="18"/>
          <w:szCs w:val="18"/>
          <w:color w:val="auto"/>
        </w:rPr>
        <w:t>Pontifax (Israel), Pontifax (Cayman) IV L.P. and Pontiax (China) IV Fund L.P. (collectively, “Pontifax”)</w:t>
      </w:r>
      <w:r>
        <w:rPr>
          <w:rFonts w:ascii="Arial" w:cs="Arial" w:eastAsia="Arial" w:hAnsi="Arial"/>
          <w:sz w:val="27"/>
          <w:szCs w:val="27"/>
          <w:color w:val="auto"/>
          <w:vertAlign w:val="superscript"/>
        </w:rPr>
        <w:t>(4)</w:t>
      </w:r>
    </w:p>
    <w:p>
      <w:pPr>
        <w:spacing w:after="0" w:line="208" w:lineRule="auto"/>
        <w:rPr>
          <w:sz w:val="20"/>
          <w:szCs w:val="20"/>
          <w:color w:val="auto"/>
        </w:rPr>
      </w:pPr>
      <w:r>
        <w:rPr>
          <w:rFonts w:ascii="Arial" w:cs="Arial" w:eastAsia="Arial" w:hAnsi="Arial"/>
          <w:sz w:val="18"/>
          <w:szCs w:val="18"/>
          <w:color w:val="auto"/>
        </w:rPr>
        <w:t>Capital Point Ltd.</w:t>
      </w:r>
      <w:r>
        <w:rPr>
          <w:rFonts w:ascii="Arial" w:cs="Arial" w:eastAsia="Arial" w:hAnsi="Arial"/>
          <w:sz w:val="27"/>
          <w:szCs w:val="27"/>
          <w:color w:val="auto"/>
          <w:vertAlign w:val="superscript"/>
        </w:rPr>
        <w:t>(5)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Menachem Raphael</w:t>
      </w:r>
      <w:r>
        <w:rPr>
          <w:rFonts w:ascii="Arial" w:cs="Arial" w:eastAsia="Arial" w:hAnsi="Arial"/>
          <w:sz w:val="27"/>
          <w:szCs w:val="27"/>
          <w:color w:val="auto"/>
          <w:vertAlign w:val="superscript"/>
        </w:rPr>
        <w:t>(6)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Zeev Bronfeld</w:t>
      </w:r>
      <w:r>
        <w:rPr>
          <w:rFonts w:ascii="Arial" w:cs="Arial" w:eastAsia="Arial" w:hAnsi="Arial"/>
          <w:sz w:val="27"/>
          <w:szCs w:val="27"/>
          <w:color w:val="auto"/>
          <w:vertAlign w:val="superscript"/>
        </w:rPr>
        <w:t>(7)</w:t>
      </w:r>
    </w:p>
    <w:p>
      <w:pPr>
        <w:spacing w:after="0" w:line="208" w:lineRule="auto"/>
        <w:rPr>
          <w:sz w:val="20"/>
          <w:szCs w:val="20"/>
          <w:color w:val="auto"/>
        </w:rPr>
      </w:pPr>
      <w:r>
        <w:rPr>
          <w:rFonts w:ascii="Arial" w:cs="Arial" w:eastAsia="Arial" w:hAnsi="Arial"/>
          <w:sz w:val="18"/>
          <w:szCs w:val="18"/>
          <w:color w:val="auto"/>
        </w:rPr>
        <w:t>Yonatan Malca</w:t>
      </w:r>
      <w:r>
        <w:rPr>
          <w:rFonts w:ascii="Arial" w:cs="Arial" w:eastAsia="Arial" w:hAnsi="Arial"/>
          <w:sz w:val="27"/>
          <w:szCs w:val="27"/>
          <w:color w:val="auto"/>
          <w:vertAlign w:val="superscript"/>
        </w:rPr>
        <w:t>(8)</w:t>
      </w:r>
    </w:p>
    <w:p>
      <w:pPr>
        <w:spacing w:after="0" w:line="209" w:lineRule="auto"/>
        <w:rPr>
          <w:sz w:val="20"/>
          <w:szCs w:val="20"/>
          <w:color w:val="auto"/>
        </w:rPr>
      </w:pPr>
      <w:r>
        <w:rPr>
          <w:rFonts w:ascii="Arial" w:cs="Arial" w:eastAsia="Arial" w:hAnsi="Arial"/>
          <w:sz w:val="18"/>
          <w:szCs w:val="18"/>
          <w:color w:val="auto"/>
        </w:rPr>
        <w:t>Dr. Phillip Schwartz</w:t>
      </w:r>
      <w:r>
        <w:rPr>
          <w:rFonts w:ascii="Arial" w:cs="Arial" w:eastAsia="Arial" w:hAnsi="Arial"/>
          <w:sz w:val="27"/>
          <w:szCs w:val="27"/>
          <w:color w:val="auto"/>
          <w:vertAlign w:val="superscript"/>
        </w:rPr>
        <w:t>(9)</w:t>
      </w:r>
    </w:p>
    <w:p>
      <w:pPr>
        <w:spacing w:after="0" w:line="209" w:lineRule="auto"/>
        <w:rPr>
          <w:sz w:val="20"/>
          <w:szCs w:val="20"/>
          <w:color w:val="auto"/>
        </w:rPr>
      </w:pPr>
      <w:r>
        <w:rPr>
          <w:rFonts w:ascii="Arial" w:cs="Arial" w:eastAsia="Arial" w:hAnsi="Arial"/>
          <w:sz w:val="18"/>
          <w:szCs w:val="18"/>
          <w:color w:val="auto"/>
        </w:rPr>
        <w:t>Dr. Eric Lang</w:t>
      </w:r>
      <w:r>
        <w:rPr>
          <w:rFonts w:ascii="Arial" w:cs="Arial" w:eastAsia="Arial" w:hAnsi="Arial"/>
          <w:sz w:val="27"/>
          <w:szCs w:val="27"/>
          <w:color w:val="auto"/>
          <w:vertAlign w:val="superscript"/>
        </w:rPr>
        <w:t>(10)</w:t>
      </w:r>
    </w:p>
    <w:p>
      <w:pPr>
        <w:spacing w:after="0" w:line="209" w:lineRule="auto"/>
        <w:rPr>
          <w:sz w:val="20"/>
          <w:szCs w:val="20"/>
          <w:color w:val="auto"/>
        </w:rPr>
      </w:pPr>
      <w:r>
        <w:rPr>
          <w:rFonts w:ascii="Arial" w:cs="Arial" w:eastAsia="Arial" w:hAnsi="Arial"/>
          <w:sz w:val="18"/>
          <w:szCs w:val="18"/>
          <w:color w:val="auto"/>
        </w:rPr>
        <w:t>Luke M. Beshar</w:t>
      </w:r>
      <w:r>
        <w:rPr>
          <w:rFonts w:ascii="Arial" w:cs="Arial" w:eastAsia="Arial" w:hAnsi="Arial"/>
          <w:sz w:val="27"/>
          <w:szCs w:val="27"/>
          <w:color w:val="auto"/>
          <w:vertAlign w:val="superscript"/>
        </w:rPr>
        <w:t>(11)</w:t>
      </w:r>
    </w:p>
    <w:p>
      <w:pPr>
        <w:spacing w:after="0" w:line="208" w:lineRule="auto"/>
        <w:rPr>
          <w:sz w:val="20"/>
          <w:szCs w:val="20"/>
          <w:color w:val="auto"/>
        </w:rPr>
      </w:pPr>
      <w:r>
        <w:rPr>
          <w:rFonts w:ascii="Arial" w:cs="Arial" w:eastAsia="Arial" w:hAnsi="Arial"/>
          <w:sz w:val="18"/>
          <w:szCs w:val="18"/>
          <w:color w:val="auto"/>
        </w:rPr>
        <w:t>David Ben Ami</w:t>
      </w:r>
      <w:r>
        <w:rPr>
          <w:rFonts w:ascii="Arial" w:cs="Arial" w:eastAsia="Arial" w:hAnsi="Arial"/>
          <w:sz w:val="27"/>
          <w:szCs w:val="27"/>
          <w:color w:val="auto"/>
          <w:vertAlign w:val="superscript"/>
        </w:rPr>
        <w:t>(12)</w:t>
      </w:r>
    </w:p>
    <w:p>
      <w:pPr>
        <w:spacing w:after="0" w:line="209" w:lineRule="auto"/>
        <w:rPr>
          <w:sz w:val="20"/>
          <w:szCs w:val="20"/>
          <w:color w:val="auto"/>
        </w:rPr>
      </w:pPr>
      <w:r>
        <w:rPr>
          <w:rFonts w:ascii="Arial" w:cs="Arial" w:eastAsia="Arial" w:hAnsi="Arial"/>
          <w:sz w:val="18"/>
          <w:szCs w:val="18"/>
          <w:color w:val="auto"/>
        </w:rPr>
        <w:t>Gerald Lieberman</w:t>
      </w:r>
      <w:r>
        <w:rPr>
          <w:rFonts w:ascii="Arial" w:cs="Arial" w:eastAsia="Arial" w:hAnsi="Arial"/>
          <w:sz w:val="27"/>
          <w:szCs w:val="27"/>
          <w:color w:val="auto"/>
          <w:vertAlign w:val="superscript"/>
        </w:rPr>
        <w:t>(13)</w:t>
      </w:r>
    </w:p>
    <w:p>
      <w:pPr>
        <w:spacing w:after="0" w:line="209" w:lineRule="auto"/>
        <w:rPr>
          <w:sz w:val="20"/>
          <w:szCs w:val="20"/>
          <w:color w:val="auto"/>
        </w:rPr>
      </w:pPr>
      <w:r>
        <w:rPr>
          <w:rFonts w:ascii="Arial" w:cs="Arial" w:eastAsia="Arial" w:hAnsi="Arial"/>
          <w:sz w:val="18"/>
          <w:szCs w:val="18"/>
          <w:color w:val="auto"/>
        </w:rPr>
        <w:t>Chaim Davis</w:t>
      </w:r>
      <w:r>
        <w:rPr>
          <w:rFonts w:ascii="Arial" w:cs="Arial" w:eastAsia="Arial" w:hAnsi="Arial"/>
          <w:sz w:val="27"/>
          <w:szCs w:val="27"/>
          <w:color w:val="auto"/>
          <w:vertAlign w:val="superscript"/>
        </w:rPr>
        <w:t>(14)</w:t>
      </w:r>
    </w:p>
    <w:p>
      <w:pPr>
        <w:spacing w:after="0" w:line="209" w:lineRule="auto"/>
        <w:rPr>
          <w:sz w:val="20"/>
          <w:szCs w:val="20"/>
          <w:color w:val="auto"/>
        </w:rPr>
      </w:pPr>
      <w:r>
        <w:rPr>
          <w:rFonts w:ascii="Arial" w:cs="Arial" w:eastAsia="Arial" w:hAnsi="Arial"/>
          <w:sz w:val="18"/>
          <w:szCs w:val="18"/>
          <w:color w:val="auto"/>
        </w:rPr>
        <w:t>Dr. Roger J. Garceau</w:t>
      </w:r>
      <w:r>
        <w:rPr>
          <w:rFonts w:ascii="Arial" w:cs="Arial" w:eastAsia="Arial" w:hAnsi="Arial"/>
          <w:sz w:val="27"/>
          <w:szCs w:val="27"/>
          <w:color w:val="auto"/>
          <w:vertAlign w:val="superscript"/>
        </w:rPr>
        <w:t>(15)</w:t>
      </w:r>
    </w:p>
    <w:p>
      <w:pPr>
        <w:spacing w:after="0" w:line="209" w:lineRule="auto"/>
        <w:rPr>
          <w:sz w:val="20"/>
          <w:szCs w:val="20"/>
          <w:color w:val="auto"/>
        </w:rPr>
      </w:pPr>
      <w:r>
        <w:rPr>
          <w:rFonts w:ascii="Arial" w:cs="Arial" w:eastAsia="Arial" w:hAnsi="Arial"/>
          <w:sz w:val="18"/>
          <w:szCs w:val="18"/>
          <w:color w:val="auto"/>
        </w:rPr>
        <w:t>Mira Rosenzweig</w:t>
      </w:r>
      <w:r>
        <w:rPr>
          <w:rFonts w:ascii="Arial" w:cs="Arial" w:eastAsia="Arial" w:hAnsi="Arial"/>
          <w:sz w:val="27"/>
          <w:szCs w:val="27"/>
          <w:color w:val="auto"/>
          <w:vertAlign w:val="superscript"/>
        </w:rPr>
        <w:t>(16)</w:t>
      </w:r>
    </w:p>
    <w:p>
      <w:pPr>
        <w:spacing w:after="0" w:line="219" w:lineRule="auto"/>
        <w:rPr>
          <w:sz w:val="20"/>
          <w:szCs w:val="20"/>
          <w:color w:val="auto"/>
        </w:rPr>
      </w:pPr>
      <w:r>
        <w:rPr>
          <w:rFonts w:ascii="Arial" w:cs="Arial" w:eastAsia="Arial" w:hAnsi="Arial"/>
          <w:sz w:val="18"/>
          <w:szCs w:val="18"/>
          <w:color w:val="auto"/>
        </w:rPr>
        <w:t>Dr. Hillel Galitzer</w:t>
      </w:r>
      <w:r>
        <w:rPr>
          <w:rFonts w:ascii="Arial" w:cs="Arial" w:eastAsia="Arial" w:hAnsi="Arial"/>
          <w:sz w:val="27"/>
          <w:szCs w:val="27"/>
          <w:color w:val="auto"/>
          <w:vertAlign w:val="superscript"/>
        </w:rPr>
        <w:t>(17)</w:t>
      </w:r>
    </w:p>
    <w:p>
      <w:pPr>
        <w:spacing w:after="0" w:line="1" w:lineRule="exact"/>
        <w:rPr>
          <w:sz w:val="20"/>
          <w:szCs w:val="20"/>
          <w:color w:val="auto"/>
        </w:rPr>
      </w:pPr>
    </w:p>
    <w:p>
      <w:pPr>
        <w:ind w:left="180" w:right="200" w:hanging="179"/>
        <w:spacing w:after="0" w:line="249" w:lineRule="auto"/>
        <w:rPr>
          <w:sz w:val="20"/>
          <w:szCs w:val="20"/>
          <w:color w:val="auto"/>
        </w:rPr>
      </w:pPr>
      <w:r>
        <w:rPr>
          <w:rFonts w:ascii="Arial" w:cs="Arial" w:eastAsia="Arial" w:hAnsi="Arial"/>
          <w:sz w:val="18"/>
          <w:szCs w:val="18"/>
          <w:color w:val="auto"/>
        </w:rPr>
        <w:t>All executive officers and directors as a group (11 persons)</w:t>
      </w:r>
      <w:r>
        <w:rPr>
          <w:rFonts w:ascii="Arial" w:cs="Arial" w:eastAsia="Arial" w:hAnsi="Arial"/>
          <w:sz w:val="27"/>
          <w:szCs w:val="27"/>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151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18"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Shares Beneficially</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Owned After the</w:t>
            </w: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Shares Beneficially</w:t>
            </w:r>
          </w:p>
        </w:tc>
      </w:tr>
      <w:tr>
        <w:trPr>
          <w:trHeight w:val="162"/>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Offering (Assuming No</w:t>
            </w: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Owned After the Offering</w:t>
            </w:r>
          </w:p>
        </w:tc>
      </w:tr>
      <w:tr>
        <w:trPr>
          <w:trHeight w:val="162"/>
        </w:trPr>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Shares Beneficially</w:t>
            </w: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Exercise of the</w:t>
            </w: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(Assuming Full Exercise</w:t>
            </w:r>
          </w:p>
        </w:tc>
      </w:tr>
      <w:tr>
        <w:trPr>
          <w:trHeight w:val="144"/>
        </w:trPr>
        <w:tc>
          <w:tcPr>
            <w:tcW w:w="2620" w:type="dxa"/>
            <w:vAlign w:val="bottom"/>
            <w:gridSpan w:val="5"/>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Owned Prior to the</w:t>
            </w:r>
          </w:p>
        </w:tc>
        <w:tc>
          <w:tcPr>
            <w:tcW w:w="2620" w:type="dxa"/>
            <w:vAlign w:val="bottom"/>
            <w:gridSpan w:val="5"/>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Over-Allotment</w:t>
            </w:r>
          </w:p>
        </w:tc>
        <w:tc>
          <w:tcPr>
            <w:tcW w:w="24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4"/>
              </w:rPr>
              <w:t>of the Over-Allotment</w:t>
            </w:r>
          </w:p>
        </w:tc>
      </w:tr>
      <w:tr>
        <w:trPr>
          <w:trHeight w:val="243"/>
        </w:trPr>
        <w:tc>
          <w:tcPr>
            <w:tcW w:w="156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92"/>
              </w:rPr>
              <w:t>Offering</w:t>
            </w:r>
            <w:r>
              <w:rPr>
                <w:rFonts w:ascii="Arial" w:cs="Arial" w:eastAsia="Arial" w:hAnsi="Arial"/>
                <w:sz w:val="21"/>
                <w:szCs w:val="21"/>
                <w:b w:val="1"/>
                <w:bCs w:val="1"/>
                <w:color w:val="auto"/>
                <w:w w:val="92"/>
                <w:vertAlign w:val="superscript"/>
              </w:rPr>
              <w:t>(1)</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4"/>
                <w:szCs w:val="14"/>
                <w:b w:val="1"/>
                <w:bCs w:val="1"/>
                <w:color w:val="auto"/>
                <w:w w:val="92"/>
              </w:rPr>
              <w:t>Option)</w:t>
            </w:r>
            <w:r>
              <w:rPr>
                <w:rFonts w:ascii="Arial" w:cs="Arial" w:eastAsia="Arial" w:hAnsi="Arial"/>
                <w:sz w:val="21"/>
                <w:szCs w:val="21"/>
                <w:b w:val="1"/>
                <w:bCs w:val="1"/>
                <w:color w:val="auto"/>
                <w:w w:val="92"/>
                <w:vertAlign w:val="superscript"/>
              </w:rPr>
              <w:t>(1)</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4"/>
                <w:szCs w:val="14"/>
                <w:b w:val="1"/>
                <w:bCs w:val="1"/>
                <w:color w:val="auto"/>
                <w:w w:val="89"/>
              </w:rPr>
              <w:t>Option)</w:t>
            </w:r>
            <w:r>
              <w:rPr>
                <w:rFonts w:ascii="Arial" w:cs="Arial" w:eastAsia="Arial" w:hAnsi="Arial"/>
                <w:sz w:val="21"/>
                <w:szCs w:val="21"/>
                <w:b w:val="1"/>
                <w:bCs w:val="1"/>
                <w:color w:val="auto"/>
                <w:w w:val="89"/>
                <w:vertAlign w:val="superscript"/>
              </w:rPr>
              <w:t>(1)</w:t>
            </w:r>
          </w:p>
        </w:tc>
        <w:tc>
          <w:tcPr>
            <w:tcW w:w="880" w:type="dxa"/>
            <w:vAlign w:val="bottom"/>
            <w:tcBorders>
              <w:bottom w:val="single" w:sz="8" w:color="auto"/>
            </w:tcBorders>
          </w:tcPr>
          <w:p>
            <w:pPr>
              <w:spacing w:after="0"/>
              <w:rPr>
                <w:sz w:val="21"/>
                <w:szCs w:val="21"/>
                <w:color w:val="auto"/>
              </w:rPr>
            </w:pPr>
          </w:p>
        </w:tc>
      </w:tr>
      <w:tr>
        <w:trPr>
          <w:trHeight w:val="198"/>
        </w:trPr>
        <w:tc>
          <w:tcPr>
            <w:tcW w:w="1560" w:type="dxa"/>
            <w:vAlign w:val="bottom"/>
            <w:gridSpan w:val="3"/>
          </w:tcPr>
          <w:p>
            <w:pPr>
              <w:ind w:left="34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1540" w:type="dxa"/>
            <w:vAlign w:val="bottom"/>
            <w:gridSpan w:val="3"/>
          </w:tcPr>
          <w:p>
            <w:pPr>
              <w:ind w:left="340"/>
              <w:spacing w:after="0"/>
              <w:rPr>
                <w:sz w:val="20"/>
                <w:szCs w:val="20"/>
                <w:color w:val="auto"/>
              </w:rPr>
            </w:pPr>
            <w:r>
              <w:rPr>
                <w:rFonts w:ascii="Arial" w:cs="Arial" w:eastAsia="Arial" w:hAnsi="Arial"/>
                <w:sz w:val="14"/>
                <w:szCs w:val="14"/>
                <w:b w:val="1"/>
                <w:bCs w:val="1"/>
                <w:color w:val="auto"/>
              </w:rPr>
              <w:t>Number</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w:t>
            </w: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jc w:val="right"/>
              <w:ind w:right="71"/>
              <w:spacing w:after="0"/>
              <w:rPr>
                <w:sz w:val="20"/>
                <w:szCs w:val="20"/>
                <w:color w:val="auto"/>
              </w:rPr>
            </w:pPr>
            <w:r>
              <w:rPr>
                <w:rFonts w:ascii="Arial" w:cs="Arial" w:eastAsia="Arial" w:hAnsi="Arial"/>
                <w:sz w:val="14"/>
                <w:szCs w:val="14"/>
                <w:b w:val="1"/>
                <w:bCs w:val="1"/>
                <w:color w:val="auto"/>
                <w:w w:val="92"/>
              </w:rPr>
              <w:t>Percentage</w:t>
            </w:r>
          </w:p>
        </w:tc>
      </w:tr>
      <w:tr>
        <w:trPr>
          <w:trHeight w:val="26"/>
        </w:trPr>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2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24"/>
                <w:szCs w:val="24"/>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4"/>
                <w:szCs w:val="24"/>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34.4%</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2,192,060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2,192,060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2,192,060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17.4%</w:t>
            </w:r>
          </w:p>
        </w:tc>
      </w:tr>
      <w:tr>
        <w:trPr>
          <w:trHeight w:val="689"/>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853,450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853,450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853,450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7.2%</w:t>
            </w:r>
          </w:p>
        </w:tc>
      </w:tr>
      <w:tr>
        <w:trPr>
          <w:trHeight w:val="284"/>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799,370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4"/>
                <w:szCs w:val="24"/>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799,370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4"/>
                <w:szCs w:val="24"/>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799,370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13.2%</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540,800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540,800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540,800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5.9%</w:t>
            </w:r>
          </w:p>
        </w:tc>
      </w:tr>
      <w:tr>
        <w:trPr>
          <w:trHeight w:val="635"/>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24"/>
                <w:szCs w:val="24"/>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4"/>
                <w:szCs w:val="24"/>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34.4%</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3,978,780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34.4%</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624,130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624,130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624,130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5.1%</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614,380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614,380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614,380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5.0%</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315,900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315,900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315,900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2.7%</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150,670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150,670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150,670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1.3%</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139,230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139,230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139,230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209,690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209,690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209,690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1.8%</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w:t>
            </w:r>
          </w:p>
        </w:tc>
      </w:tr>
      <w:tr>
        <w:trPr>
          <w:trHeight w:val="473"/>
        </w:trPr>
        <w:tc>
          <w:tcPr>
            <w:tcW w:w="1200" w:type="dxa"/>
            <w:vAlign w:val="bottom"/>
          </w:tcPr>
          <w:p>
            <w:pPr>
              <w:jc w:val="right"/>
              <w:ind w:right="153"/>
              <w:spacing w:after="0"/>
              <w:rPr>
                <w:sz w:val="20"/>
                <w:szCs w:val="20"/>
                <w:color w:val="auto"/>
              </w:rPr>
            </w:pPr>
            <w:r>
              <w:rPr>
                <w:rFonts w:ascii="Arial" w:cs="Arial" w:eastAsia="Arial" w:hAnsi="Arial"/>
                <w:sz w:val="18"/>
                <w:szCs w:val="18"/>
                <w:color w:val="auto"/>
              </w:rPr>
              <w:t>6,161,870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24"/>
                <w:szCs w:val="24"/>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6,161,870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24"/>
                <w:szCs w:val="24"/>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6,161,870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-3378200</wp:posOffset>
            </wp:positionV>
            <wp:extent cx="724662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-2760980</wp:posOffset>
            </wp:positionV>
            <wp:extent cx="724662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-2417445</wp:posOffset>
            </wp:positionV>
            <wp:extent cx="7246620" cy="2317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-2014855</wp:posOffset>
            </wp:positionV>
            <wp:extent cx="724662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-1671320</wp:posOffset>
            </wp:positionV>
            <wp:extent cx="724662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-1328420</wp:posOffset>
            </wp:positionV>
            <wp:extent cx="724662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-985520</wp:posOffset>
            </wp:positionV>
            <wp:extent cx="724662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-642620</wp:posOffset>
            </wp:positionV>
            <wp:extent cx="724662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-299720</wp:posOffset>
            </wp:positionV>
            <wp:extent cx="7246620" cy="3175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-3721100</wp:posOffset>
            </wp:positionV>
            <wp:extent cx="724662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9" w:lineRule="exact"/>
        <w:rPr>
          <w:sz w:val="20"/>
          <w:szCs w:val="20"/>
          <w:color w:val="auto"/>
        </w:rPr>
      </w:pPr>
    </w:p>
    <w:p>
      <w:pPr>
        <w:sectPr>
          <w:pgSz w:w="11900" w:h="16838" w:orient="portrait"/>
          <w:cols w:equalWidth="0" w:num="2">
            <w:col w:w="3520" w:space="220"/>
            <w:col w:w="7680"/>
          </w:cols>
          <w:pgMar w:left="240" w:top="131" w:right="239" w:bottom="1440" w:gutter="0" w:footer="0" w:header="0"/>
        </w:sectPr>
      </w:pPr>
    </w:p>
    <w:p>
      <w:pPr>
        <w:ind w:left="360" w:right="360" w:hanging="352"/>
        <w:spacing w:after="0" w:line="257"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For purposes of the table above, we deem shares subject to options or warrants that are currently exercisable or exercisable within 60 days of March 31, 2018, to be outstanding and to be beneficially owned by the person holding the options or warrants for the purposes of computing the percentage ownership of that person but we do not treat them as outstanding for the purpose of computing the percentage ownership of any other person.</w:t>
      </w:r>
    </w:p>
    <w:p>
      <w:pPr>
        <w:spacing w:after="0" w:line="93" w:lineRule="exact"/>
        <w:rPr>
          <w:rFonts w:ascii="Arial" w:cs="Arial" w:eastAsia="Arial" w:hAnsi="Arial"/>
          <w:sz w:val="18"/>
          <w:szCs w:val="18"/>
          <w:color w:val="auto"/>
        </w:rPr>
      </w:pPr>
    </w:p>
    <w:p>
      <w:pPr>
        <w:ind w:left="360" w:right="760" w:hanging="352"/>
        <w:spacing w:after="0" w:line="312" w:lineRule="auto"/>
        <w:tabs>
          <w:tab w:leader="none" w:pos="3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3,978,780 ordinary shares. D.N.A Biomedical, whose address is at Shimon Hatarsi 43 St., Tel Aviv, Israel, is controlled by Zeev Bronfeld. 3,410,420 ordinary shares, or approximately 85.7% of the ordinary shares currently held by D.N.A Biomedical have been pledged to Capital Point, while the remaining 568,320 ordinary shares, or approximately 14.3%, have been pledged to Menachem Raphael.</w:t>
      </w:r>
    </w:p>
    <w:p>
      <w:pPr>
        <w:spacing w:after="0" w:line="52" w:lineRule="exact"/>
        <w:rPr>
          <w:rFonts w:ascii="Arial" w:cs="Arial" w:eastAsia="Arial" w:hAnsi="Arial"/>
          <w:sz w:val="16"/>
          <w:szCs w:val="16"/>
          <w:color w:val="auto"/>
        </w:rPr>
      </w:pPr>
    </w:p>
    <w:p>
      <w:pPr>
        <w:ind w:left="360" w:right="380" w:hanging="352"/>
        <w:spacing w:after="0" w:line="257"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8,344 Series A preferred shares that will be converted to 1,084,720 ordinary shares following the closing of this offering, (ii) warrants to purchase 2,086 Series A preferred shares that will be converted to warrants to purchase 271,180 ordinary shares following the closing of this offering, which had been issued to Centillion as of March 31, 2018, (iii) 2,086 Series A preferred shares that will be converted to 271,180 ordinary shares following the closing of this offering and a warrant to purchase 521 Series A preferred shares, that will be converted to warrants to purchase 67,730 ordinary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shares following the closing of this offering, which shares can be acquired by Centillion at any time until July 20, 2019 pursuant to the terms of our Series A preferred shares purchase agreement, (iv) 427 Series A preferred shares that will be converted to 55,510 ordinary shares following the closing of this offering and a warrant to purchase 107 Series A preferred shares, that will be converted to warrants to purchase 13,910 ordinary shares following the closing of this offering, which shares can be acquired by Centillion at any time until July 20, 2019 pursuant to our current Articles, (v) 357 Series B preferred shares that will be converted to 46,410 ordinary shares following the closing of this offering, and (vi) warrants to purchase 2,934 Series B-1 preferred shares that will be converted to warrants to purchase 381,420 ordinary shares following the closing of this offering. Centillion Fund, whose address is c/o Entera Bio Ltd., Kiryat Hadassah, Minrav Building — Fifth Floor, Jerusalem 9112002, Israel, is controlled by Ariel Israilov.</w:t>
      </w:r>
    </w:p>
    <w:p>
      <w:pPr>
        <w:spacing w:after="0" w:line="113" w:lineRule="exact"/>
        <w:rPr>
          <w:sz w:val="20"/>
          <w:szCs w:val="20"/>
          <w:color w:val="auto"/>
        </w:rPr>
      </w:pPr>
    </w:p>
    <w:p>
      <w:pPr>
        <w:ind w:left="360" w:right="280" w:hanging="352"/>
        <w:spacing w:after="0" w:line="255" w:lineRule="auto"/>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4,689 Series B-1 preferred shares that will be converted to 609,570 ordinary shares following the closing of this offering, and (ii) warrants to purchase 1,876 Series B preferred shares that will be converted to warrants to purchase 243,880 ordinary shares following the closing of this offering. Pontifax 4 GP L.P. (“Pontifax Management”) is the general partner of Pontifax (Israel) 4 LP, Pontifax (Cayman) IV LP and Pontifax (China) IV LP (together, the “Partnerships”). Pontifax Management 4 G.P. (2015) Ltd. (“Pontifax Management GP”) is the general partner of Pontifax Management. Mr. Tomer Kariv and Mr. Ran Nussbaum are directors of Pontifax Management GP and, as such, hold voting and/or dispositive power over the shares held by the Partnerships. The principal business address of the foregoing entities and individuals is 14 Shenkar Street, Herzeliya 46140, Israel.</w:t>
      </w:r>
    </w:p>
    <w:p>
      <w:pPr>
        <w:spacing w:after="0" w:line="135" w:lineRule="exact"/>
        <w:rPr>
          <w:rFonts w:ascii="Arial" w:cs="Arial" w:eastAsia="Arial" w:hAnsi="Arial"/>
          <w:sz w:val="18"/>
          <w:szCs w:val="18"/>
          <w:color w:val="auto"/>
        </w:rPr>
      </w:pPr>
    </w:p>
    <w:p>
      <w:pPr>
        <w:ind w:left="360" w:right="520" w:hanging="352"/>
        <w:spacing w:after="0" w:line="312" w:lineRule="auto"/>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(i) 5,659 Series B preferred shares that will be converted to 735,760 ordinary shares following the closing of this offering (ii) 63,700 ordinary shares, transferred by D.N.A. Biomedical to Capital Point and (iii) 722,150 ordinary shares that Capital Point has the right to acquire pursuant to an option granted by D.NA Biomedical. Capital Point’s address is at Derech Menachem Begin 132 (Azrieli Center) Tel Aviv, Israel.</w:t>
      </w:r>
    </w:p>
    <w:p>
      <w:pPr>
        <w:spacing w:after="0" w:line="79" w:lineRule="exact"/>
        <w:rPr>
          <w:rFonts w:ascii="Arial" w:cs="Arial" w:eastAsia="Arial" w:hAnsi="Arial"/>
          <w:sz w:val="16"/>
          <w:szCs w:val="16"/>
          <w:color w:val="auto"/>
        </w:rPr>
      </w:pPr>
    </w:p>
    <w:p>
      <w:pPr>
        <w:ind w:left="360" w:right="240" w:hanging="352"/>
        <w:spacing w:after="0" w:line="287" w:lineRule="auto"/>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(i) 834 Series A preferred shares that will be converted to 108,480 ordinary shares following the closing of this offering, (ii) warrants to purchase 208 Series A preferred shares that will be converted to warrants to purchase 27,040 ordinary shares, which had been issued to White Car Group, Ltd., who later transferred its shares to Menachem Raphael, as of March 31, 2018, (iii) 208 Series A preferred shares that will be converted to 27,040 ordinary shares following the closing of this offering and warrants to purchase 53 Series A preferred shares that will be converted to warrants to purchase 6,890 ordinary shares following the closing of this offering, which shares can be acquired by Menachem Raphael until July 20, 2019 pursuant to the terms of our Series A preferred shares purchase agreement, (iv) 1,099 Series B-1 preferred shares that will be converted to 142,870 ordinary shares following the closing of this offering (v) warrants to purchase 440 Series B preferred shares that will be converted to warrants to purchase 57,200 ordinary shares following the closing of this offering (vi) warrants to purchase 293 Series B-1 preferred shares that will be converted to warrants to purchase 38,090 ordinary shares following the closing of this offering, (vii) 1,126 ordinary shares that Menachem Raphael has the right to acquire pursuant to an option granted by D.N.A Biomedical and (viii) 943 Series B preferred shares that will be converted to 122,590 ordinary shares following the closing of this offering, issued to D.N.A Biomedical, who later transferred them to Menachem Raphael and (ix) 10,660 ordinary shares transferred by D.N.A. Biomedical to Menachem Raphael, whose address is at Ha’seora 12, Tel Aviv Israel.</w:t>
      </w:r>
    </w:p>
    <w:p>
      <w:pPr>
        <w:spacing w:after="0" w:line="114" w:lineRule="exact"/>
        <w:rPr>
          <w:rFonts w:ascii="Arial" w:cs="Arial" w:eastAsia="Arial" w:hAnsi="Arial"/>
          <w:sz w:val="16"/>
          <w:szCs w:val="16"/>
          <w:color w:val="auto"/>
        </w:rPr>
      </w:pPr>
    </w:p>
    <w:p>
      <w:pPr>
        <w:ind w:left="360" w:right="560" w:hanging="352"/>
        <w:spacing w:after="0" w:line="277" w:lineRule="auto"/>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Zeev Bronfeld is the Chairman of the Board of Directors of D.N.A Biomedical, and as such may be deemed to have shared voting or investment power over the ordinary shares owned by D.N.A Biomedical.</w:t>
      </w:r>
    </w:p>
    <w:p>
      <w:pPr>
        <w:spacing w:after="0" w:line="116" w:lineRule="exact"/>
        <w:rPr>
          <w:rFonts w:ascii="Arial" w:cs="Arial" w:eastAsia="Arial" w:hAnsi="Arial"/>
          <w:sz w:val="18"/>
          <w:szCs w:val="18"/>
          <w:color w:val="auto"/>
        </w:rPr>
      </w:pPr>
    </w:p>
    <w:p>
      <w:pPr>
        <w:ind w:left="360" w:right="560" w:hanging="352"/>
        <w:spacing w:after="0" w:line="277" w:lineRule="auto"/>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Yonatan Malka is the CEO and a director of D.N.A Biomedical, and as such may be deemed to have shared voting or investment power over the ordinary shares owned by D.N.A Biomedical.</w:t>
      </w:r>
    </w:p>
    <w:p>
      <w:pPr>
        <w:spacing w:after="0" w:line="116" w:lineRule="exact"/>
        <w:rPr>
          <w:rFonts w:ascii="Arial" w:cs="Arial" w:eastAsia="Arial" w:hAnsi="Arial"/>
          <w:sz w:val="18"/>
          <w:szCs w:val="18"/>
          <w:color w:val="auto"/>
        </w:rPr>
      </w:pPr>
    </w:p>
    <w:p>
      <w:pPr>
        <w:ind w:left="360" w:right="400" w:hanging="352"/>
        <w:spacing w:after="0" w:line="277" w:lineRule="auto"/>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623,350 ordinary shares underlying options to acquire ordinary shares, with an exercise price of NIS 0.0000769, exercisable within 60 days of March 31, 2018, expire at various periods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between May 2019 and January 2020. (ii) options to acquire 44,720 ordinary shares exercisable within 60 days of March 31, 2018, with an exercise price of $6.31 per share and expiring on November 23, 2023 and (iii) 6 Series B preferred shares that will be converted to 780 ordinary shares following the closing of this offering.</w:t>
      </w:r>
    </w:p>
    <w:p>
      <w:pPr>
        <w:spacing w:after="0" w:line="114" w:lineRule="exact"/>
        <w:rPr>
          <w:sz w:val="20"/>
          <w:szCs w:val="20"/>
          <w:color w:val="auto"/>
        </w:rPr>
      </w:pPr>
    </w:p>
    <w:p>
      <w:pPr>
        <w:ind w:left="360" w:right="360" w:hanging="352"/>
        <w:spacing w:after="0" w:line="277"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27,690 ordinary shares underlying options to acquire ordinary shares exercisable within 60 days of March 31, 2018, expiring on January 15, 2024 with an exercise price of $6.31 per share.</w:t>
      </w:r>
    </w:p>
    <w:p>
      <w:pPr>
        <w:spacing w:after="0" w:line="102" w:lineRule="exact"/>
        <w:rPr>
          <w:rFonts w:ascii="Arial" w:cs="Arial" w:eastAsia="Arial" w:hAnsi="Arial"/>
          <w:sz w:val="18"/>
          <w:szCs w:val="18"/>
          <w:color w:val="auto"/>
        </w:rPr>
      </w:pPr>
    </w:p>
    <w:p>
      <w:pPr>
        <w:ind w:left="360" w:right="380" w:hanging="352"/>
        <w:spacing w:after="0" w:line="257"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(i) options to acquire 147,290 ordinary shares with an exercise price of $3.69 per share and expiring on December 21, 2021, (ii) 77 Series B-1 preferred shares that will be converted to 10,010 ordinary shares following the closing of this offering, (iii) warrants to purchase 31 Series B preferred shares that will be converted to warrants to purchase 4,030 ordinary shares following the closing of this offering, (iv) options to acquire 450,350 ordinary shares exercisable within 60 days of March 31, 2018, with an exercise price of $6.31 per share and expiring on December 1, 2026, granted pursuant to the Service Agreement with Mr. Beshar.</w:t>
      </w:r>
    </w:p>
    <w:p>
      <w:pPr>
        <w:spacing w:after="0" w:line="107" w:lineRule="exact"/>
        <w:rPr>
          <w:rFonts w:ascii="Arial" w:cs="Arial" w:eastAsia="Arial" w:hAnsi="Arial"/>
          <w:sz w:val="18"/>
          <w:szCs w:val="18"/>
          <w:color w:val="auto"/>
        </w:rPr>
      </w:pPr>
    </w:p>
    <w:p>
      <w:pPr>
        <w:ind w:left="360" w:right="300" w:hanging="352"/>
        <w:spacing w:after="0" w:line="257"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(i) options to acquire 31,460 ordinary shares with an exercise price of NIS 0.0000769, exercisable within 60 days of March 31, 2018, and expiring on March 19, 2019, (ii) 1,563 Series B-1 preferred shares that will be converted to 203,190 ordinary shares following the closing of this offering, held by Corundum, of which David Ben Ami, a member of our board of directors, is the managing partner, and (iii) warrants to purchase 625 Series B preferred shares that will be converted to warrants to purchase 81,250 ordinary shares following the closing of this offering, held by Corundum.</w:t>
      </w:r>
    </w:p>
    <w:p>
      <w:pPr>
        <w:spacing w:after="0" w:line="120" w:lineRule="exact"/>
        <w:rPr>
          <w:rFonts w:ascii="Arial" w:cs="Arial" w:eastAsia="Arial" w:hAnsi="Arial"/>
          <w:sz w:val="18"/>
          <w:szCs w:val="18"/>
          <w:color w:val="auto"/>
        </w:rPr>
      </w:pPr>
    </w:p>
    <w:p>
      <w:pPr>
        <w:ind w:left="360" w:right="360" w:hanging="352"/>
        <w:spacing w:after="0" w:line="255"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(i) options to acquire 98,280 ordinary shares with an exercise price of $7.54 per share and expiring on April 6, 2023, exercisable within 60 days of March 31, 2018, (ii) options to acquire 9,750 ordinary shares with an exercise price of $1.85 per share and expiring on March 19, 2021, exercisable within 60 days of March 31, 2018, (iii) 156 Series B-1 preferred shares that will be converted to 20,280 ordinary shares following the closing of this offering, (iv) warrants to purchase 62 Series B preferred shares that will be converted to warrants to purchase 8,060 ordinary shares following the closing of this offering and (v) 110 Series B preferred shares that will be converted to 14,300 ordinary shares following the closing of this offering.</w:t>
      </w:r>
    </w:p>
    <w:p>
      <w:pPr>
        <w:spacing w:after="0" w:line="125" w:lineRule="exact"/>
        <w:rPr>
          <w:rFonts w:ascii="Arial" w:cs="Arial" w:eastAsia="Arial" w:hAnsi="Arial"/>
          <w:sz w:val="18"/>
          <w:szCs w:val="18"/>
          <w:color w:val="auto"/>
        </w:rPr>
      </w:pPr>
    </w:p>
    <w:p>
      <w:pPr>
        <w:jc w:val="both"/>
        <w:ind w:left="360" w:right="360" w:hanging="352"/>
        <w:spacing w:after="0" w:line="288" w:lineRule="auto"/>
        <w:tabs>
          <w:tab w:leader="none" w:pos="3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of (i) 11,830 ordinary shares, (ii) options to acquire 11,050 ordinary shares exercisable within 60 days of March 31, 2018, with an exercise price of $1.85 per share and expiring on September 1, 2019 and options to acquire 13,000 ordinary shares exercisable within 60 days of March 31, 2018, with an exercise price of $6.31 per share and expiring on November 23, 2023, (iii) 47,450 ordinary shares owned by Revach Fund, L.P.</w:t>
      </w:r>
    </w:p>
    <w:p>
      <w:pPr>
        <w:ind w:left="360" w:right="480"/>
        <w:spacing w:after="0" w:line="254" w:lineRule="auto"/>
        <w:rPr>
          <w:rFonts w:ascii="Arial" w:cs="Arial" w:eastAsia="Arial" w:hAnsi="Arial"/>
          <w:sz w:val="16"/>
          <w:szCs w:val="16"/>
          <w:color w:val="auto"/>
        </w:rPr>
      </w:pPr>
      <w:r>
        <w:rPr>
          <w:rFonts w:ascii="Arial" w:cs="Arial" w:eastAsia="Arial" w:hAnsi="Arial"/>
          <w:sz w:val="18"/>
          <w:szCs w:val="18"/>
          <w:color w:val="auto"/>
        </w:rPr>
        <w:t>(“Revach”), (iv) 54,080 ordinary shares that will be issued to Revach upon conversion of the 2012 Convertible Loan, which will be automatically converted upon the completion of this offering, and (v) 14 Series B preferred shares that will be converted to 1,820 ordinary shares following the closing of this offering. Mr. Davis is the sole managing director and partner of Revach and may be deemed to beneficially own the ordinary shares owned or that can be acquired by Revach.</w:t>
      </w:r>
    </w:p>
    <w:p>
      <w:pPr>
        <w:spacing w:after="0" w:line="122" w:lineRule="exact"/>
        <w:rPr>
          <w:rFonts w:ascii="Arial" w:cs="Arial" w:eastAsia="Arial" w:hAnsi="Arial"/>
          <w:sz w:val="16"/>
          <w:szCs w:val="16"/>
          <w:color w:val="auto"/>
        </w:rPr>
      </w:pPr>
    </w:p>
    <w:p>
      <w:pPr>
        <w:jc w:val="both"/>
        <w:ind w:left="360" w:right="320" w:hanging="352"/>
        <w:spacing w:after="0" w:line="257"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 of (i) options to acquire 98,280 ordinary shares with an exercise price of $3.69 per share and expiring on March 29, 2022, (ii) 38 Series B-1 preferred shares that will be converted to 4,940 ordinary shares following the closing of this offering, (iii) warrants to purchase 15 Series B preferred shares that will be converted to warrants to purchase 1,950 ordinary shares following the closing of this offering, and (iv) options to acquire 104,520 ordinary shares exercisable within 60 days of March 31, 2018, with an exercise price of $6.31 per share and expiring on December 1, 2026, granted pursuant to the Service Agreement with Dr. Garceau.</w:t>
      </w:r>
    </w:p>
    <w:p>
      <w:pPr>
        <w:spacing w:after="0" w:line="120" w:lineRule="exact"/>
        <w:rPr>
          <w:rFonts w:ascii="Arial" w:cs="Arial" w:eastAsia="Arial" w:hAnsi="Arial"/>
          <w:sz w:val="18"/>
          <w:szCs w:val="18"/>
          <w:color w:val="auto"/>
        </w:rPr>
      </w:pPr>
    </w:p>
    <w:p>
      <w:pPr>
        <w:jc w:val="both"/>
        <w:ind w:left="360" w:right="480" w:hanging="352"/>
        <w:spacing w:after="0" w:line="264"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(i) 36,010 ordinary shares underlying options to acquire ordinary shares expiring on May 29, 2020 with an exercise price of $2.43 per share and (ii) options to acquire 11,440 ordinary shares, with an exercise price of $6.31 per share and expiring on November 15, 2023. All options are exercisable within 60 days of March 31, 2018.</w:t>
      </w:r>
    </w:p>
    <w:p>
      <w:pPr>
        <w:spacing w:after="0" w:line="113" w:lineRule="exact"/>
        <w:rPr>
          <w:rFonts w:ascii="Arial" w:cs="Arial" w:eastAsia="Arial" w:hAnsi="Arial"/>
          <w:sz w:val="18"/>
          <w:szCs w:val="18"/>
          <w:color w:val="auto"/>
        </w:rPr>
      </w:pPr>
    </w:p>
    <w:p>
      <w:pPr>
        <w:ind w:left="360" w:right="600" w:hanging="352"/>
        <w:spacing w:after="0" w:line="277"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(i) 36,010 ordinary shares underlying options to acquire ordinary shares, of which options to acquire 16,510 ordinary shares have an exercise price of $1.85 per share, and options to acquire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line="342" w:lineRule="auto"/>
        <w:rPr>
          <w:sz w:val="20"/>
          <w:szCs w:val="20"/>
          <w:color w:val="auto"/>
        </w:rPr>
      </w:pPr>
      <w:r>
        <w:rPr>
          <w:rFonts w:ascii="Arial" w:cs="Arial" w:eastAsia="Arial" w:hAnsi="Arial"/>
          <w:sz w:val="16"/>
          <w:szCs w:val="16"/>
          <w:color w:val="auto"/>
        </w:rPr>
        <w:t>19,500 ordinary shares have an exercise price of NIS 0.0000769, all expiring on September 1, 2019, (ii) options to acquire 17,940 ordinary shares, with an exercise price of $6.31 per share and expiring on November 15, 2023. All options are exercisable within 60 days of March 31, 2018.</w:t>
      </w:r>
    </w:p>
    <w:p>
      <w:pPr>
        <w:spacing w:after="0" w:line="97" w:lineRule="exact"/>
        <w:rPr>
          <w:sz w:val="20"/>
          <w:szCs w:val="20"/>
          <w:color w:val="auto"/>
        </w:rPr>
      </w:pPr>
    </w:p>
    <w:p>
      <w:pPr>
        <w:ind w:left="360" w:right="420" w:hanging="352"/>
        <w:spacing w:after="0" w:line="276" w:lineRule="auto"/>
        <w:tabs>
          <w:tab w:leader="none" w:pos="3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Consists of (i) 4,038,060 ordinary shares, (ii) options to acquire 1,719,720 ordinary shares (iii) 54,080 ordinary shares that will be issued upon conversion of the 2012 Convertible Loan, which will be automatically converted upon the completion of this offering, (iv) 1,834 Series B-1 preferred shares that will be converted to 238,420 ordinary shares following the closing of this offering, (v) warrants to purchase 733 Series B preferred shares that will be converted to warrants to purchase 95,290 ordinary shares following the closing of this offering, and (vi) 130 Series B preferred Shares that will be converted to 16,900 ordinary shares following the closing of this offering.</w:t>
      </w: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The following description is a summary of the material provisions of the warrants being offered pursuant to this prospectus (the “warrants”) and does not purport to be complete. This summary is subject to and is qualified by reference to all the provisions of the warrants, including the definitions of certain terms used in the warrants. For the complete terms of the warrants, you should refer to the form of warrant filed as an exhibit to the registration statement of which this prospectus forms a part. We urge you to read this document because it, and not this description, sets forth fully the terms of the warrants and define your rights as a holder of the warrants.</w:t>
      </w:r>
    </w:p>
    <w:p>
      <w:pPr>
        <w:spacing w:after="0" w:line="8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Pursuant to a warrant agency agreement between us and American Stock Transfer &amp; Trust Company, LLC, as warrant agent, the warrants will be issued in book-entry form and will initially be represented only by one or more global warrants deposited with the warrant agent, as custodian on behalf of The Depository Trust Company, or DTC, and registered in the name of Cede &amp; Co., a nominee of DTC, or as otherwise directed by DTC.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 Exercise Price and Term</w:t>
      </w:r>
    </w:p>
    <w:p>
      <w:pPr>
        <w:spacing w:after="0" w:line="1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Each warrant represents the right to purchase 0.5 of an ordinary share. The warrants to be issued in this offering represent the rights to purchase an aggregate of up to 666,66 ordinary shares (or 766,667 ordinary shares if the underwriters were to fully exercise their over-allotment option with respect to the warrants) at an initial exercise price of $11.25 per ordinary share (which is 125% of the assumed initial public offering price per unit).</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warrants are exercisable beginning on the date of issuance, and at any time up to the five-year anniversary of the original issuance date, which we refer to as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date is not a business day, the termination date will be the immediately following business day), unless earlier repurchased by us as described below under “— Fundamental Transactions” or subject to early expiration as described below under “— Early Expiration upon Satisfaction of Sale Price Condition”; </w:t>
      </w:r>
      <w:r>
        <w:rPr>
          <w:rFonts w:ascii="Arial" w:cs="Arial" w:eastAsia="Arial" w:hAnsi="Arial"/>
          <w:sz w:val="16"/>
          <w:szCs w:val="16"/>
          <w:i w:val="1"/>
          <w:iCs w:val="1"/>
          <w:color w:val="auto"/>
        </w:rPr>
        <w:t>provided</w:t>
      </w:r>
      <w:r>
        <w:rPr>
          <w:rFonts w:ascii="Arial" w:cs="Arial" w:eastAsia="Arial" w:hAnsi="Arial"/>
          <w:sz w:val="16"/>
          <w:szCs w:val="16"/>
          <w:color w:val="auto"/>
        </w:rPr>
        <w:t>, that any single exercise must be in relation to a whole number of ordinary shares. A holder will initially be entitled to one ordinary share for every two warrants held and, as a result, will not be able to exercise warrants other than in integral multiples of two. To exercise warrants prior to the termination date, within one trading day (as defined in the warrants) of delivery of an exercise notice to the warrant agent, a warrant holder must pay to us in cash the exercise price for the aggregate number of ordinary shares to be purchased, unless such warrant holder is utilizing the “cashless” exercise provision of the warrants, which is only available prior to the termination date if, at the time of exercise, there is no effective registration statement registering with the SEC, or no prospectus contained in an effective registration is available for, the issuance of the underlying ordinary shares, or, if required, there is not an effective state law registration or exemption covering the issuance of the ordinary shares underlying the warrants. On the termination date, any warrants not previously exercised, repurchased by us or subject to early expiration will terminate and expire worthless.</w:t>
      </w:r>
    </w:p>
    <w:p>
      <w:pPr>
        <w:spacing w:after="0" w:line="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If a warrant is exercised via the “cashless” exercise provision, following delivery of an exercise notice to us a holder will receive a number of ordinary shares equal to the quotient obtained by dividing (i) the difference between (x) the arithmetic average of the volume-weighted average prices, or VWAPs (as determined pursuant to the terms of the warrants) of the ordinary shares over each of the 10 consecutive trading days during the related calculation period (as defined below), and (y) the exercise price of the warrants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ordinary shares issuable per warrant by (ii) the 10-day average VWAP determined under clause (i)(x) above. In lieu of fractional shares, we will, at our option, either (A) pay the holder an amount in cash equal to the fractional amount multiplied by the market value of an ordinary share or (B) round up to the next whole share.</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“calculation period” means the 10 consecutive trading day period beginning on, and including, the trading day immediately following the date on which a warrant is exercised (or deemed exercised) pursuant to the terms of the warrants.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holder will not have the right to exercise any portion of its warrants if such holder (together with its affiliates, and any other persons acting as a group with the holder or any of its affiliates) would beneficially own in excess of 4.99% of the number of our ordinary shares outstanding immediately after giving effect to the exercise, as such percentage ownership is determined in accordance with the terms of the warrants. A holder may give not less than 61 days’ prior notice to us to increase such beneficial ownership limit, up to</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9.99%. To the extent that the limitation under this paragraph applies, the determination of a whether a warrant is exercisable, and of which portion of a warrant is exercisable, will be in the sole discretion of the holder, and the submission of an exercise notice will be deemed to be the holder’s determination of whether a warrant is exercisable (in relation to other securities owned by the holder together with any affiliates, and any other persons acting as a group with the holder or any of its affiliates) and of which portion of the warrant is exercisable, in each case subject to the foregoing beneficial ownership restrictions, and we shall have no obligation to verify or confirm the accuracy of such determination and shall have no liability for exercises that are not in compliance with the beneficial ownership restrictions. The foregoing beneficial ownership restrictions will not apply to the extent a holder (together with its affiliates, and any other persons acting as a group with the holder or any of its affiliates) beneficially owned in excess of the foregoing beneficial ownership thresholds prior to the date of original issuance of the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Timely Deliver Shares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fail to deliver to a holder the ordinary shares otherwise deliverable by the second trading day after the receipt of a duly executed notice of exercise and the corresponding exercise price or, in the case of cashless exercise, by the second trading day after the final day of the applicable calculation period, in each case as required by the warrants (other than any such failure that is solely due to any action or inaction by the holder with respect to such exercise), and if the holder purchases the ordinary shares after that second trading day to deliver in satisfaction of a sale by the holder of the underlying warrant shares that the holder anticipated receiving from us, then, upon the holder’s request, we will (A) pay in cash to the holder the amount, if any, by which (x) the holder’s total purchase price (including brokerage commissions, if any) for the ordinary shares so purchased exceeds (y) the amount obtained by multiplying (1) the number of ordinary shares that we were required to deliver to the holder in connection with the relevant warrant exercise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we timely complied with our exercise and delivery obligations under the warrant.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Adjustments</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exercise price and number of shares issuable upon exercise of each warrant are subject to appropriate adjustment in the event of certain ordinary share dividends and distributions, share splits, stock combinations or similar events affecting our ordinary shares. The exercise price is subject to reduction if, within two years of the date of original issuance of the warrants, we sell or grant any warrant or option to subscribe for or purchase, or otherwise dispose of or issue, any ordinary shares or ordinary share equivalents (as defined in the warrants) at an effective price per share less than $9.00 per share, which is the assumed initial public offering price per unit in this offering (as adjusted in proportion with any adjustments made from time to time to the exercise price), which reduction will be based on a weighted average taking into account the value of the ordinary shares outstanding immediately prior to such new issuance, determined using the exercise price then in effect, and the value of the ordinary shares to be issued or sold or deemed issued or sold in such new issuance, determined using the effective price of such new issuance;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sentence shall not apply to certain exempt issuances (as defined in the warrants). Notwithstanding the foregoing, in no event will the exercise price per share be lower than the nominal value of an ordinary share, which is NIS 0.0000769 as of the date of this prospectus.</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such time as the warrants are outstanding, if we declare or make any dividend or other distribution of our assets (or rights to acquire our assets) to holders of ordinary shares, by way of return of capital or otherwise (including, without limitation, any distribution of cash, stock or other securities, property or options by way of a dividend, spin-off, corporate rearrangement, scheme of arrangement or other similar transaction, other than (x) a reclassification as to which the provisions described below under “— Fundamental Transactions” apply or (y) any issuance, deemed issuance or automatic conversion of securities in the IPO Transactions or the 2018 Plan) (a “Distribution”), a warrant holder shall be entitled to participate to the same extent that the holder would have participated in such Distribution if the holder had held the number of ordinary shares acquirable upon complete exercise of its warrants (without regard to any limitations on exercise thereof, including without limitation, the beneficial ownership restrictions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described above under “— Exercisability, Exercise Price and Term”) immediately before the record date for such Distribution (</w:t>
      </w:r>
      <w:r>
        <w:rPr>
          <w:rFonts w:ascii="Arial" w:cs="Arial" w:eastAsia="Arial" w:hAnsi="Arial"/>
          <w:sz w:val="18"/>
          <w:szCs w:val="18"/>
          <w:i w:val="1"/>
          <w:iCs w:val="1"/>
          <w:color w:val="auto"/>
        </w:rPr>
        <w:t>provided, however</w:t>
      </w:r>
      <w:r>
        <w:rPr>
          <w:rFonts w:ascii="Arial" w:cs="Arial" w:eastAsia="Arial" w:hAnsi="Arial"/>
          <w:sz w:val="18"/>
          <w:szCs w:val="18"/>
          <w:color w:val="auto"/>
        </w:rPr>
        <w:t>, to the extent that a holder’s right to participate in any such Distribution would result in the holder exceeding the beneficial ownership restriction, the holder shall not be entitled to participate in such Distribution to such extent (or in the beneficial ownership of any ordinary shares as a result of such Distribution to such extent) and the portion of such Distribution will be held in abeyance for the benefit of such holder until the earlier of (i) such time, if ever, as the delivery to the holder of such position would not result in such holder exceeding the beneficial ownership restriction and (ii) such time as the holder has exercised its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Transactions</w:t>
      </w:r>
    </w:p>
    <w:p>
      <w:pPr>
        <w:spacing w:after="0" w:line="10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If (i) we effect any merger or consolidation of the Company with or into another person, (ii) we effect any sale, lease or other disposition of all or substantially all of our assets (other than, for the avoidance of doubt, pursuant to a licensing arrangement so long as, after giving effect to such arrangement, our ordinary shares are listed or quoted on a designated market (as defined below)), (iii) any purchase offer, tender offer or exchange offer (whether by us or another person) is completed pursuant to which holders of ordinary shares are permitted to sell, tender or exchange their shares for other securities, cash or property and has been accepted by the holders of 50% or more of the outstanding ordinary shares, (iv) we effect any reclassification, reorganization or recapitalization of the ordinary shares or any compulsory share exchange pursuant to which the ordinary shares are effectively converted into or exchanged for other securities, cash or property, or (v) we consummate a stock or share purchase agreement or other business combination with another person or group of persons whereby such other person or group acquires more than 50% of the outstanding ordinary shares (each a “Fundamental Transaction”), then following such Fundamental Transaction, the holders of the warrants will be entitled to receive upon exercise thereof the kind and amount of securities, cash or other property that the holders would have received had they exercised the warrants immediately prior to such event. Any successor to us or surviving entity is required to assume the obligations under the warrants. Notwithstanding the foregoing, in the event of a Fundamental Transaction (other than any Fundamental Transaction that is (x) not within our control, including not approved by our board of directors, or (y) a Specified Fundamental Transaction (as defined below), in each case, as to which the right described in this sentence shall not apply), the holders will have the option, which may be exercised within 30 days after the consummation of the Fundamental Transaction (or, if later, the date of the public announcement of the applicable Fundamental Transaction), to require us or the successor entity to purchase the warrants from holders by paying to them an amount of cash equal to the Black Scholes value (determined in accordance with the provisions of the warrants) of the remaining unexercised portion of the warrants on the date of the consummation of the Fundamental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Fundamental Transaction is not within our control, including not approved by our board of directors, within 30 days of the date of consummation of such Fundamental Transaction, a holder will be entitled to receive from us or any successor entity the same type or form of consideration (and in the same proportion), at the Black Scholes value of the unexercised portion of the warrants, that is being offered and paid to our ordinary shareholders in connection with the Fundamental Transaction, whether that consideration be in the form of cash, stock or any combination thereof, or whether the ordinary shareholders are given the choice to receive from among alternative forms of consideration in connection with the Fundamental Transaction.</w:t>
      </w:r>
    </w:p>
    <w:p>
      <w:pPr>
        <w:spacing w:after="0" w:line="2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“Specified Fundamental Transaction” means a Fundamental Transaction (I) described in clause (i) of the definition thereof where, immediately after giving effect thereto (x) the holders of all of our classes of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or (y) we will be the surviving entity or (II) for which at least 90% of the consideration received or to be received by holders of ordinary shares (excluding cash payments for fractional shares and cash payments pursuant to dissenters’ or appraisal rights) that are listed or quoted on any of the NYSE American, the NASDAQ Capital Market, the NASDAQ Global Market, the NASDAQ Global Select Market, the New York Stock Exchange, OTCQB or OTCQX (or any of their respective successors) (each, a “designated market”) or will be so listed or quoted when issued or exchange in connection with such Fundamental Transaction.</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Expiration upon Satisfaction of Sale Price Condition</w:t>
      </w:r>
    </w:p>
    <w:p>
      <w:pPr>
        <w:spacing w:after="0" w:line="108"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We may accelerate the expiration date of the warrants upon written notice to the holders at any time if the last reported sale price (as defined in the warrants) exceeds $27.00 per share, which is 300% of the assumed initial public offering price per unit in this offering (as adjusted in proportion with any adjustments made from time to time to the exercise price) for a 10 consecutive trading day period. Any warrants not exercised by 5:00 p.m., New York City time, on the 30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calendar day following the date the acceleration notice is given will terminate and expire worthless.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Subject to applicable laws, the warrants may be offered for sale, sold, transferred or assigned without our consent.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applied to list the warrants on the NASDAQ Capital Market under the symbol “ENTXW.” However, there can be no assurance that the warrants will be approved for listing. The warrants are expected to trade separately from the ordinary shares following the effectiveness of the registration statement for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as a Shareholder</w:t>
      </w:r>
    </w:p>
    <w:p>
      <w:pPr>
        <w:spacing w:after="0" w:line="10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Except as otherwise provided in the warrants or by virtue of such holder’s ownership of our ordinary shares, the holder of a warrant does not have the rights or privileges of a holder of our ordinary shares, including any voting rights, until the holder exercises the warrant and delivers the corresponding executed exercise notice and exercise price, if 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08"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warrants will be governed by, and construed and enforced in accordance with, the laws of the State of New York. Matters involving the rights of shareholders, the issuance of ordinary shares and the validity of ordinary shares are governed by the laws of Israel.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 CAPITAL</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following description of our share capital and provisions of our amended Articles are summaries and are qualified by reference to our amended Articles, which have been filed with the SEC as an exhibit to the registration statement of which this prospectus forms a part. Upon the closing of this offering, our current Articles will be replaced by our amended Articles. All references to our Articles of Association in this section refer to our amended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an Israeli company incorporated with limited liability, and our affairs are governed by the provisions of our Articles of Association, as amended and restated from time to time, and by the provisions of applicable Israeli law, including the Companies Law. Upon the closing of this offering, our Fifth Amended and Restated Articles of Association currently in effect, or the current Articles, will be further amended and restated and replaced by our Sixth Amended and Restated Articles of Association, or the amended Articles. Other material terms and provisions of our ordinary shares under our amended Articles are described below in “— 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closing of this offering, our authorized share capital will consist of 130,000,000 ordinary shares, par value NIS 0.0000769 per share, of which 10,018,320 ordinary shares are issued and outstanding as of date of this prospectus and 11,361,654 ordinary shares will be issued and outstanding immediately following the closing of this offering, in each case on a post-offering basis (assuming the underwriters do not exercise their option to purchase additional ordinary shares and including 10,000 ordinary shares to be issued to the representative upon the closing of this offering). All of our ordinary shares have been validly issued, fully paid and are non-assessable.</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2018, the number of our ordinary shares outstanding was 10,018,320, and an additional 3,186,170 ordinary shares were issuable upon the exercise of outstanding options granted to our officers, employees and certain consultants, at a weighted-average exercise price of $4.63 per share, in each case after giving effect to the 1-for-130 split of our ordinary shares that is described elsewhere in this prospectus. See “Management — Share Incentive Plan” for more information about our outstanding option plans.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terms of our amended Articles that will become effective upon the closing of this offering, we will not be authorized to issue preferred shares, and there will be no preferred shares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Warrants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7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March 31, 2018, we had outstanding warrants to purchase 2,554 of our Series A preferred shares, at an exercise price of $479.38, which, upon the closing of this offering will automatically convert into warrants to purchase 322,020 of our ordinary shares, at an exercise price of $3.69.</w:t>
      </w:r>
    </w:p>
    <w:p>
      <w:pPr>
        <w:spacing w:after="0" w:line="3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Pursuant to the terms of the preferred share purchase agreements with Centillion and certain other preferred shareholders, upon the closing of this offering, and upon the exercise of the right to invest the second milestone amount and certain options held by Centillion, we will issue to Centillion and the other preferred shareholders warrants to purchase an additional 97,111 ordinary shares, at an exercise price of $3.69.</w:t>
      </w:r>
    </w:p>
    <w:p>
      <w:pPr>
        <w:spacing w:after="0" w:line="73"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following summary of certain material terms and provisions of such warrants is not complete and is subject to, and qualified in its entirety by the provisions of, the form of the warrant, which is filed as an exhibit to the registration statement of which this prospectus forms a part.</w:t>
      </w:r>
    </w:p>
    <w:p>
      <w:pPr>
        <w:spacing w:after="0" w:line="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warrants are exercisable immediately upon issuance and at any time up to the date that is the earlier of (i) two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this offering or (ii) seven years from the date of issuance. The warrants will be exercisable, at the option of each holder, in whole or in part by delivering to us a duly executed exercise notice accompanied by payment in full for the applicable number of our ordinary shares.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The class of shares that can be acquired upon exercise of the warrants will be (i) prior to the consummation of this offering,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(ii) upon and following the consummation of this offering and otherwise after the conversion of all of our preferred shares into ordinary shares, our ordinary shares, and (iii) upon any conversion, exchange, reclassification or change, any security into which our preferred shares or ordinary shares may be converted, exchanged, reclassified or otherwise changed.</w:t>
      </w:r>
    </w:p>
    <w:p>
      <w:pPr>
        <w:spacing w:after="0" w:line="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per applicable share purchasable upon exercise of the warrants is $3.69 per share. The exercise price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issuable upon exercise are subject to appropriate adjustment in the event of certain stock dividends and distributions, stock splits, stock subdivisions and combinations, reclassifications or similar events affecting our ordinary shares.</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Absent an effective registration statement filed with the SEC covering the disposition or sale of the warrants or the shares issued or issuable</w:t>
      </w:r>
      <w:r>
        <w:rPr>
          <w:rFonts w:ascii="Arial" w:cs="Arial" w:eastAsia="Arial" w:hAnsi="Arial"/>
          <w:sz w:val="16"/>
          <w:szCs w:val="16"/>
          <w:i w:val="1"/>
          <w:iCs w:val="1"/>
          <w:color w:val="auto"/>
        </w:rPr>
        <w:t xml:space="preserve"> </w:t>
      </w:r>
      <w:r>
        <w:rPr>
          <w:rFonts w:ascii="Arial" w:cs="Arial" w:eastAsia="Arial" w:hAnsi="Arial"/>
          <w:sz w:val="16"/>
          <w:szCs w:val="16"/>
          <w:color w:val="auto"/>
        </w:rPr>
        <w:t>upon exercise of the warrants, and registration or qualification under applicable state securities laws, the holder cannot transfer any or all of the warrants or the applicable shares unless such transfer is exempt from the registration requirements of the Securities Act and any applicable state securities laws.</w:t>
      </w:r>
    </w:p>
    <w:p>
      <w:pPr>
        <w:spacing w:after="0" w:line="3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Rights as a Shareholder</w:t>
      </w:r>
      <w:r>
        <w:rPr>
          <w:rFonts w:ascii="Arial" w:cs="Arial" w:eastAsia="Arial" w:hAnsi="Arial"/>
          <w:sz w:val="17"/>
          <w:szCs w:val="17"/>
          <w:color w:val="auto"/>
        </w:rPr>
        <w:t>. Except as otherwise provided in the warrants or by virtue of such holder’s ownership of our ordinary shares, the holder of a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the rights or privileges of a holder of ordinary shares, including any voting rights, until the holder exercises the warrant.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Warrants</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discussed above under “Certain Relationships and Related Party Transactions,” in connection with the second amendment to the Centillion preferred share purchase agreement and the first amendment to the additional preferred share purchase agreements with the certain other preferred shareholders, we issued additional warrants to such shareholders.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2018, we had outstanding additional warrants to purchase 3,594 Series B-1 preferred shares in an aggregate principal amount of $2.45 million, which upon the closing of this offering will become additional warrants to purchase 467,220 of our ordinary shares at an exercise price of $5.24 per share, which represents a 25% discount to the Series B preferred share purchase price per share.</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summary of certain material terms and provisions of the additional warrants is not complete and is subject to, and qualified in its entirety by the provisions of, the form of the additional warrant, which is filed as an exhibit to the registration statement of which this prospectus forms a part.</w:t>
      </w:r>
    </w:p>
    <w:p>
      <w:pPr>
        <w:spacing w:after="0" w:line="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The additional warrants are exercisable upon, and for a period of two years following, a triggering event, which includes certain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transactions, certain private placement equity financings of at least $5 million or a public offering on NASDAQ or the New York Stock Exchange. The Series B Private Placement constituted a 2016 Triggering Event as defined in the additional warrants, and as a result, the exercise period for such warrants is two years following October 4,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Series B-1 preferred shares, or ordinary shares if exercised upon or following the closing of this offering.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per applicable share purchasable upon exercise of the warrants will be discounted by 25% from the applicable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 of the shares issued in the relevant triggering event. As a result of the Series B Private Placement, the exercise price was set at $5.24, which represents a 25% discount to the Series B preferred share purchase price per share, after giving effect to the conversion of the exercise price due to the ordinary share split described in this prospectus.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Absent an effective registration statement filed with the SEC covering the disposition or sale of the warrants or the shares issued or issuable</w:t>
      </w:r>
      <w:r>
        <w:rPr>
          <w:rFonts w:ascii="Arial" w:cs="Arial" w:eastAsia="Arial" w:hAnsi="Arial"/>
          <w:sz w:val="18"/>
          <w:szCs w:val="18"/>
          <w:i w:val="1"/>
          <w:iCs w:val="1"/>
          <w:color w:val="auto"/>
        </w:rPr>
        <w:t xml:space="preserve"> </w:t>
      </w:r>
      <w:r>
        <w:rPr>
          <w:rFonts w:ascii="Arial" w:cs="Arial" w:eastAsia="Arial" w:hAnsi="Arial"/>
          <w:sz w:val="18"/>
          <w:szCs w:val="18"/>
          <w:color w:val="auto"/>
        </w:rPr>
        <w:t>upon exercise of the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Rights as a Shareholder</w:t>
      </w:r>
      <w:r>
        <w:rPr>
          <w:rFonts w:ascii="Arial" w:cs="Arial" w:eastAsia="Arial" w:hAnsi="Arial"/>
          <w:sz w:val="17"/>
          <w:szCs w:val="17"/>
          <w:color w:val="auto"/>
        </w:rPr>
        <w:t>. Except as otherwise provided in the warrants or by virtue of such holder’s ownership of our ordinary shares, the holder of a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the rights or privileges of a holder of ordinary shares, including any voting rights, until the holder exercises the warrant.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Warrants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2016 Convertible Loan, the Company granted to the lenders warrants, or the 2016 Warrants, in the 2016 Convertible Loan to purchase an additional 40% of the number of the Company’s equity securities issued to such lender following the conversion of the loan in to the Company’s equity securities following a 2016 Triggering Event. As a result of the Series B preferred shares purchase agreement, the price at which the previously issued 2016 Warrants may be exercised was set at $908.78.</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2018, we had 5,292 outstanding 2016 Warrants in an aggregate principal amount of $4.8 million, which upon the closing of this offering will become warrants to purchase 687,960 of our ordinary shares at an exercise price of $6.99 per ordinary share.</w:t>
      </w:r>
    </w:p>
    <w:p>
      <w:pPr>
        <w:spacing w:after="0" w:line="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summary of certain material terms and provisions of the 2016 Warrants is not complete and is subject to, and qualified in its entirety by the provisions of, the form of the 2016 Warrants, which is filed as an exhibit to the registration statement of which this prospectus forms a part.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2016 Warrants are exercisable until June 2020, and will be exercisable into ordinary shares following the completion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Applicable Securities</w:t>
      </w:r>
      <w:r>
        <w:rPr>
          <w:rFonts w:ascii="Arial" w:cs="Arial" w:eastAsia="Arial" w:hAnsi="Arial"/>
          <w:sz w:val="18"/>
          <w:szCs w:val="18"/>
          <w:color w:val="auto"/>
        </w:rPr>
        <w:t>.  Series B preferred shares, or ordinary shares if exercised upon or following the closing of this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$6.99 per share.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Absent an effective registration statement filed with the SEC covering the disposition or sale of the warrants or the securities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upon exercise of the 2016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 In addition, the holder can transfer any or all of the 2016 Warrants to a Permitted Transferee, as defined in the Company’s current Articles.</w:t>
      </w:r>
    </w:p>
    <w:p>
      <w:pPr>
        <w:spacing w:after="0" w:line="4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Rights as a Shareholder</w:t>
      </w:r>
      <w:r>
        <w:rPr>
          <w:rFonts w:ascii="Arial" w:cs="Arial" w:eastAsia="Arial" w:hAnsi="Arial"/>
          <w:sz w:val="16"/>
          <w:szCs w:val="16"/>
          <w:color w:val="auto"/>
        </w:rPr>
        <w:t>. Except as otherwise provided in the warrants or by virtue of such holder’s ownership of our ordinary shares, the holder of a 2016</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does not have the rights or privileges of a holder of ordinary shares, including any voting rights, until the holder exercises the 2016 Warrant.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0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the Series B Private Placement, the Company issued to GP Nurmenkari Inc., or the placement agent, a warrant to purchase up to 526 Series B preferred shares, or Series B warrants, at a price of $908.78 per share, which upon the closing of this offering will become warrants to purchase 63,380 ordinary shares at an exercise price of $6.99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of certain material terms and provisions of the Series B Warrants: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Series B warrants are exercisable on or before the earlier of: (i) expiration of five years from the date of the Series B warrant, or (ii)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a liquidation, bankruptcy, reorganization, dissolution or winding up of the Company, whether voluntary or involuntary.</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Applicable Securities. </w:t>
      </w:r>
      <w:r>
        <w:rPr>
          <w:rFonts w:ascii="Arial" w:cs="Arial" w:eastAsia="Arial" w:hAnsi="Arial"/>
          <w:sz w:val="18"/>
          <w:szCs w:val="18"/>
          <w:color w:val="auto"/>
        </w:rPr>
        <w:t>The Series B warrants will be exercisable for Series B preferred shares of the Company, par value NIS 0.01 per share,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or issuable according to the Series B warrants, including but not limited to ordinary shares, if exercised upon or following the closing of this offering.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will be $6.99 per share, subject to adjustments as provided in the Series B warrants.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The Series B warrant cannot be transferred to a third party, other than an affiliate of the holder of such Series B warrant (as defined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and conditions of the Series B warrants) without (i) a registration under the Securities Act or (ii) an exemption from such registration and, if requested by the Company, a written opinion of legal counsel of the holder of the Series B warrant, addressed to the Company stating that the proposed transfer of the warrant may be effected without registration under the Securities Act, which opinion will be in form reasonably satisfactory to the Company.</w:t>
      </w:r>
    </w:p>
    <w:p>
      <w:pPr>
        <w:spacing w:after="0" w:line="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Rights as a Shareholder</w:t>
      </w:r>
      <w:r>
        <w:rPr>
          <w:rFonts w:ascii="Arial" w:cs="Arial" w:eastAsia="Arial" w:hAnsi="Arial"/>
          <w:sz w:val="18"/>
          <w:szCs w:val="18"/>
          <w:color w:val="auto"/>
        </w:rPr>
        <w:t>. Except as otherwise provided in the Series B warrants or by virtue of such holder’s ownership of our ordinary shares, the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a Series B warrant does not have the rights or privileges of a holder of ordinary shares, including any voting rights, until the holder exercises the Series B warrant.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Purpose of the Company and Registered Office</w:t>
      </w:r>
    </w:p>
    <w:p>
      <w:pPr>
        <w:spacing w:after="0" w:line="1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number with the Israeli Registrar of Companies is 514330604. The purpose of our company appears in Article 3 of our Articles of Association, which is to engage in any lawful activity. In addition, our Articles of Association authorize us to donate reasonable amounts to any charitable cause. Our registered office is at Kiryat Hadassah, Minrav Building — Fifth Floor, Jerusalem 9112002, Israel.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Companies Law, and Articles of Association, our board of directors may exercise all powers and take all actions that are not required under the Companies Law or under our Articles of Association to be exercised or taken by our shareholders or other corporate body, including the power to borrow money for the purposes of our company. Our directors are not subject to any age limit requirement, nor are they disqualified from serving on our board of directors because of a failure to own a certain amount of our shares. Under our Articles of Association, our board of directors must consist of not less than three but no more than nine directors. Pursuant to our Articles of Association, other than the external directors, for whom special election requirements apply under the Companies Law, the vote required to appoint a director is a simple majority vote of holders of our voting shares participating and voting at the relevant meeting. In addition, our Articles of Association allow our board of directors to appoint new directors to fill vacancies on the board of directors if the number of directors is below the maximum number provided in our Articles of Association. Furthermore, under our Articles of Association, our directors other than external directors are divided into three classes with staggered three-year terms. External directors are elected for an initial term of three years, may be elected for additional terms of three years each under certain circumstances, and may be removed from office pursuant to the terms of the Companies Law. For more information about our board of directors, see “Management.”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Ordinary Shares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Dividends and Liquidation Rights</w:t>
      </w:r>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of our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5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does not require shareholder approval.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Israeli law, holders of ordinary shares are permitted to freely convert dividends and liquidation distributions into non-Israeli currencies. Such amounts may be subject to Israeli withholding tax and certain reporting obligations may apply. Pursuant to Israeli law, currency control measures may be imposed by governmental action at any time.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Voting Rights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Quorum</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quorum required for a meeting of shareholders consists of at least two shareholders, present in person or by proxy, holding at least 25% of our issued shares conferring voting rights. A shareholders’ meeting will be adjourned for lack of a quorum, after half an hour from the time set for such meeting, to the same day in the following week at the same time and place, or any time and place as the board of directors designates in a notice to the shareholders.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Shareholders’ Meetings and Resolutions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Chairman of our board of directors is entitled to preside as Chairman of each shareholders’ meeting. If he is absent, his deputy or another person elected by the present shareholders will preside.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simple majority is sufficient to approve most shareholders’ resolutions, including any amendment to our Articles of Association, unless otherwise required by law or by our Articles of Association. For example, resolutions with respect to certain interested party transactions, or with respect to tender offers may require a special majority.</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160" w:lineRule="exact"/>
        <w:rPr>
          <w:sz w:val="20"/>
          <w:szCs w:val="20"/>
          <w:color w:val="auto"/>
        </w:rPr>
      </w:pPr>
    </w:p>
    <w:p>
      <w:pPr>
        <w:ind w:left="720" w:hanging="352"/>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two directors of the company or one quarter of the board of directors; or</w:t>
      </w:r>
    </w:p>
    <w:p>
      <w:pPr>
        <w:spacing w:after="0" w:line="184" w:lineRule="exact"/>
        <w:rPr>
          <w:rFonts w:ascii="Arial" w:cs="Arial" w:eastAsia="Arial" w:hAnsi="Arial"/>
          <w:sz w:val="18"/>
          <w:szCs w:val="18"/>
          <w:color w:val="auto"/>
        </w:rPr>
      </w:pPr>
    </w:p>
    <w:p>
      <w:pPr>
        <w:ind w:left="720" w:right="620" w:hanging="352"/>
        <w:spacing w:after="0" w:line="277"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 or more shareholders holding, in the aggregate: (i) five percent of the outstanding shares of the company and one percent of the voting power in the company; or (ii) five percent of the voting power in the company.</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one or more shareholders holding at least 1% of the voting rights at a general meeting of shareholders may request that the board of directors include a matter in the agenda of a general meeting of shareholders to be convened in the future, provided that such matter is appropriate for discussion at the general meeting.</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Modification of Shareholders’ Rights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rights attached to a class of shares may be altered by the approval of the shareholders of such class holding a majority of the voting rights of such class. The provisions in our Articles of Association pertaining to general meetings also apply to any special meeting of a class of shareholders. The quorum required for such special meeting is at least two persons who are the holders of at least 25% of the outstanding shares of that class represented in person or by proxy at such meeting. If such special meeting is adjourned due to a lack of quorum, the quorum required at the subsequent meeting will be at least two persons who are holders of issued shares of that class or their proxies.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Preemptive Rights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Articles of Association, no preemptive rights are attached to our ordinary shares.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Restrictions on Non-Residents of Israel</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is not restricted in any way by our Articles of Association or the laws of Israel, except for ownership by nationals of some countries that are, or have been, in a state of war with Israel.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Mergers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Companies Law permits merger transactions with the approval of each party’s board of directors and shareholders. In accordance with the Companies Law, our Articles of Association provide that a merger may be approved at a shareholders meeting by a majority of the voting power represented at the meeting, in person or by proxy, and voting on that resolution. In determining whether the required majority has approved the merger, shares held by the other party to the merger, any person holding at least 25% of the outstanding voting shares or the means of appointing the board of directors of the other party to the merger, or relatives of or companies controlled by these persons, are excluded from the vote.</w:t>
      </w:r>
    </w:p>
    <w:p>
      <w:pPr>
        <w:spacing w:after="0" w:line="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Companies Law, a merging company must inform its creditors of the proposed merger. Any creditor of a party to the merger may seek a court order blocking the merger if there is a reasonable concern that the surviving company will not be able to satisfy all of the obligations of the parties to the merger. In addition, a merger may not be completed until at least 50 days have passed from the date that a merger proposal was filed with the Israeli Registrar of Companies by each party and 30 days have passed since the merger was approved by the shareholders of each party.</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Tender Offers</w:t>
      </w:r>
    </w:p>
    <w:p>
      <w:pPr>
        <w:spacing w:after="0" w:line="10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Companies Law also provides that an acquisition of shares in a public company must be made by means of a special tender offer if, as a result of the acquisition, the purchaser would become a 25% or more shareholder of the company, unless there is already a 25% or more shareholder of the company. Similarly, the Companies Law provides that an acquisition of shares in a public company must be made by means of a special tender offer if as a result of the acquisition the purchaser would become a more than 45% shareholder of the company, unless there is already a more than 45% shareholder of the company. These requirements do not apply if the acquisition (i) occurs in the context of a private placement by the company that received shareholder approval or (ii) was from a 25% or more than 45% shareholder, as the case may be. The tender offer must be extended to all shareholders, but the offeror is not required to purchase more than 5% of the company’s voting rights, regardless of how many shares are tendered by shareholders. The tender offer may be consummated only if (i) at least 5% of the company’s outstanding shares will be acquired by the offeror and (ii) the number of shares tendered in the offer exceeds the number of shares whose holders objected to the offer (excluding the controlling shareholders of the offeror,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7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as a result of an acquisition of shares the acquirer will hold more than 90% of a company’s outstanding shares, the acquisition must be made by means of a tender offer for all of the outstanding shares. If (i) the shareholders who do not accept the offer hold less than 5% of the issued and outstanding share capital of the company and (ii) more than half of the shareholders who do not have a personal interest in the offer accept the offer, then all the shares that the acquirer offered to purchase will be transferred to it. However, a full tender offer will also be accepted if the shareholders who do not accept the offer holder less than 2% of the issued and outstanding shares of the company. The Companies Law provides for appraisal rights if any shareholder files a request in court within six months following the consummation of a full tender off, but the acquirer is entitled to stipulate that tendering shareholders forfeit their appraisal rights. If</w:t>
      </w:r>
    </w:p>
    <w:p>
      <w:pPr>
        <w:spacing w:after="0" w:line="5" w:lineRule="exact"/>
        <w:rPr>
          <w:sz w:val="20"/>
          <w:szCs w:val="20"/>
          <w:color w:val="auto"/>
        </w:rPr>
      </w:pPr>
    </w:p>
    <w:p>
      <w:pPr>
        <w:ind w:right="140" w:firstLine="8"/>
        <w:spacing w:after="0" w:line="254"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shareholders who did not respond or accept the tender offer hold at least 5% of the issued and outstanding shares of the company or the shareholders who accept the offer constitute less than a majority of the offerees that do not have a personal interest in the acceptance of the tender offer, or (ii) the shareholders who do not accept the offer hold 2% or more of the outstanding shares of the company, then the acquirer may not acquire shares that will cause his shareholdings to exceed 90% of the outstanding shares.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Law</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Duties</w:t>
      </w:r>
    </w:p>
    <w:p>
      <w:pPr>
        <w:spacing w:after="0" w:line="10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Under the Companies Law, a shareholder has a duty to act in good faith and customary manner toward the company and other shareholders and to refrain from abusing its power in the company, including, among other things, in voting at a meeting of shareholders on the following matters:</w:t>
      </w:r>
    </w:p>
    <w:p>
      <w:pPr>
        <w:spacing w:after="0" w:line="120" w:lineRule="exact"/>
        <w:rPr>
          <w:sz w:val="20"/>
          <w:szCs w:val="20"/>
          <w:color w:val="auto"/>
        </w:rPr>
      </w:pPr>
    </w:p>
    <w:p>
      <w:pPr>
        <w:ind w:left="720" w:hanging="352"/>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interested-party transactions that require shareholder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shareholder also has a general duty to refrain from discriminating against other shareholders.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certain shareholders have a duty of fairness toward the company. These shareholders include any controlling shareholder, any shareholder who knows that it possesses the power to determine the outcome of a shareholder vote and any shareholder who, under the company’s articles of association, has the power to appoint or to prevent the appointment of a director or officer of the company or another power with respect to the company. The Companies Law does not define the substance of this duty of fairness. However, a shareholder’s breach of the duty of fairness is subject to laws regarding breaches of contracts, taking into account the position of such shareholder in the company.</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Companies Law, shareholders are provided access to minutes of our general meetings, our shareholders register and principal shareholders register, our articles of association in effect from time to time, our financial statements and any document that we are required by law to file publicly with the Israeli Companies Registrar or the Israel Securities Authority. In addition, shareholders may request to be</w:t>
      </w:r>
    </w:p>
    <w:p>
      <w:pPr>
        <w:jc w:val="both"/>
        <w:spacing w:after="0" w:line="255" w:lineRule="auto"/>
        <w:rPr>
          <w:sz w:val="20"/>
          <w:szCs w:val="20"/>
          <w:color w:val="auto"/>
        </w:rPr>
      </w:pPr>
      <w:r>
        <w:rPr>
          <w:rFonts w:ascii="Arial" w:cs="Arial" w:eastAsia="Arial" w:hAnsi="Arial"/>
          <w:sz w:val="18"/>
          <w:szCs w:val="18"/>
          <w:color w:val="auto"/>
        </w:rPr>
        <w:t>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list our ordinary shares on the NASDAQ Capital Market under the symbol “ENTX”, and they are expected to trade separately from the warrants following the effectiveness of the registration statement for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Upon listing of our ordinary shares for trading on the NASDAQ Capital Market, the transfer agent and registrar for the ordinary shares will be American Stock Transfer &amp; Trust Company, LLC.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 AND GOVERNMENT PROGRAMS</w:t>
      </w:r>
    </w:p>
    <w:p>
      <w:pPr>
        <w:spacing w:after="0" w:line="1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ordinary shares and warrants. You are encouraged to consult your tax advisor concerning the tax consequences of your particular situation, as well as any tax consequences that may arise under the laws of any state, local, foreign or other taxing jurisdiction.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108"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following are material Israeli income tax consequences of the ownership and disposition of our ordinary shares and warrants that are purchased in this offering. It does not purport to be a comprehensive description of all the tax considerations that may be relevant to a decision to own or dispose of our ordinary shares or warrants. This discussion does not address all the aspects of Israeli tax laws that may be relevant to an investor in light of its particular circumstances or to certain types of investors subject to special treatment under applicable law. This discussion does not address tax consequences of a Fundamental Transaction. The following discussion also contains an overview of the current tax regime applicable to companies in Israel, with specific reference to its effect on us. This discussion is based upon the tax laws of Israel and regulations promulgated thereunder as of the date hereof, which are subject to change.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w:t>
      </w:r>
    </w:p>
    <w:p>
      <w:pPr>
        <w:spacing w:after="0" w:line="108"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Israeli companies are generally subject to corporate tax on their taxable income currently at the rate of 23%. However, the effective tax rate payable by a company that derives income from a Preferred Enterprise, Preferred Technological Enterprise or Preferred Special Technological Enterprise (as discussed below) may be considerably lower. Israeli companies are generally subject to capital gains tax at the regular corporate tax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Under the Law for the Encouragement of Industry (Taxes)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 to the Law for the Encouragement of Industry (Taxes), 5729-1969, or the Industry Encouragement Law, an “industrial company” is an Israeli resident company that was incorporated in Israel, of which 90% or more of its income in any tax year, (other than income from certain government loans), is derived from an “Industrial Enterprise” owned by it and located in Israel. An “Industrial Enterprise” is generally defined as an enterprise whose major activity in any tax year is industrial production.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Under the Industry Encouragement Law, industrial companies are entitled to the following tax-related benefits:</w:t>
      </w:r>
    </w:p>
    <w:p>
      <w:pPr>
        <w:spacing w:after="0" w:line="198" w:lineRule="exact"/>
        <w:rPr>
          <w:sz w:val="20"/>
          <w:szCs w:val="20"/>
          <w:color w:val="auto"/>
        </w:rPr>
      </w:pPr>
    </w:p>
    <w:p>
      <w:pPr>
        <w:jc w:val="both"/>
        <w:ind w:left="720" w:right="760" w:hanging="352"/>
        <w:spacing w:after="0" w:line="342" w:lineRule="auto"/>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amortization over an eight-year period of the cost of purchased know-how and patents and rights to use a patent and know-how which are used for the development or advancement of the Industrial Enterprise, commencing on the year in which such rights were first exercised;</w:t>
      </w:r>
    </w:p>
    <w:p>
      <w:pPr>
        <w:spacing w:after="0" w:line="83" w:lineRule="exact"/>
        <w:rPr>
          <w:rFonts w:ascii="Arial" w:cs="Arial" w:eastAsia="Arial" w:hAnsi="Arial"/>
          <w:sz w:val="16"/>
          <w:szCs w:val="16"/>
          <w:color w:val="auto"/>
        </w:rPr>
      </w:pPr>
    </w:p>
    <w:p>
      <w:pPr>
        <w:ind w:left="720" w:hanging="35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deductions over a three-year period of expenses incurred in connection with the issuance and listing of shares on a stock market;</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right to elect, under specified conditions, to file a consolidated tax return together with related Israeli industrial companies; and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accelerated depreciation rates on certain equipment and buildings.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Eligibility for benefits under the Industry Encouragement Law is not subject to receipt of prior approval from any governmental authority.</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we have not generated income yet, there is no assurance that we qualify as an Industrial Company or that the benefits described above will be available to us in the future.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Benefits for Income from Preferred Enterprise</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Law for the Encouragement of Capital Investments, 5719-1959, generally referred to as the Investment Law, currently provides certain tax benefits,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alia</w:t>
      </w:r>
      <w:r>
        <w:rPr>
          <w:rFonts w:ascii="Arial" w:cs="Arial" w:eastAsia="Arial" w:hAnsi="Arial"/>
          <w:sz w:val="18"/>
          <w:szCs w:val="18"/>
          <w:color w:val="auto"/>
        </w:rPr>
        <w:t>, for income generated by “Preferred Companies” from their “Preferred Enterprises.” The definition of a Preferred Company includes, inter alia,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incorporated in Israel that (i) is not wholly-owned by a governmental entity; (ii) owns a Preferred Enterprise, which is defined as an “Industrial Enterprise” (as defined under the Investment Law); (iii) is controlled and managed from Israel; and (iv) satisfies further conditions set forth in the Investment Law.</w:t>
      </w:r>
    </w:p>
    <w:p>
      <w:pPr>
        <w:spacing w:after="0" w:line="8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 Preferred Company is entitled to a reduced corporate tax rate of 16% with respect to income attributable to its Preferred Enterprise, unless the Preferred Enterprise is located in a specified development zone, known as development zone A, in which case the rate is currently 7.5%.</w:t>
      </w:r>
    </w:p>
    <w:p>
      <w:pPr>
        <w:spacing w:after="0" w:line="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tax at the rate of 20% or such lower rate as may be provided in an applicable tax treaty. However, if such dividends are paid to an Israeli company, no tax is required to be withheld (although, if the funds are subsequently distributed to individuals or non-Israeli residents (individuals and corporations), the withholding tax would apply).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Moreover, an additional tax of 3% will be imposed on individuals whose annual taxable income exceeds a certain threshold (NIS 641,880 for 2018).</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Company or that the benefits described above will be available to us in the future.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Benefits for Income from Preferred Technology Enterprise</w:t>
      </w:r>
    </w:p>
    <w:p>
      <w:pPr>
        <w:spacing w:after="0" w:line="10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An amendment to the Investment Law, or the 2017 Amendment, was enacted as part of the Economic Efficiency Law that was published on December 29, 2016, and became effective as of January 1, 2017. The 2017 Amendment provides new tax benefits to Preferred Companies for two types of “Technology Enterprises,” as described below, and is in addition to the other existing tax beneficial programs under the Investment Law.</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2017 Amendment provides that a technology company satisfying certain conditions will qualify as a “Preferred Technology Enterprise” and may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Enterprise may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2017 Amendment further provides that a technology company satisfying certain conditions (including an annual turnover of NIS 10 billion or more of the group that the technology company is a part) will qualify as a “Special Preferred Technology Enterprise” and may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in each case if the Benefited Intangible Assets were acquired on or after January 1, 2017, and the sale received prior approval from the IIA. A Special Preferred Technology Enterprise that acquires Benefitted Intangible Assets from a foreign company for more than NIS 500 million will be eligible for these benefits for at least 10 years, subject to satisfying certain conditions and obtaining certain approvals as specified in the Investment Law.</w:t>
      </w:r>
    </w:p>
    <w:p>
      <w:pPr>
        <w:spacing w:after="0" w:line="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Dividends distributed by a Preferred Technology Enterprise or a Special Preferred Technology Enterprise, paid out of Preferred Technology Income, are subject to tax at the rate of 20%, and if distributed to a foreign company and other conditions are met the tax rate will be 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Technology Enterprise or Special Preferred Technology Enterprise or that the benefits described above will be available to us in the future.</w:t>
      </w:r>
    </w:p>
    <w:p>
      <w:pPr>
        <w:spacing w:after="0" w:line="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If in the future we generate taxable income, to the extent that we qualify as a “Preferred Company,” the benefits provided under the Investment Law could potentially reduce our corporate tax liabilities. Therefore, the termination or substantial reduction of the benefits available under the Investment Law could materially increase our tax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Israeli law generally imposes a capital gains tax on the sale of any capital assets by residents of Israel, as defined for Israeli tax purposes, and on the sale of capital assets located in Israel, including shares or warrants of Israeli companies by non-residents of Israel, unless a specific exemption is available or unless a tax treaty between Israel and the shareholder’s country of residence provides otherwise. Israeli law distinguishes between real capital gain and inflationary surplus. The inflationary surplus is a portion of the total capital gain that is attributable to the increase in the Israeli consumer price index or, in certain circumstances, a foreign currency exchange rate between the date of purchase and the date of sale. The real capital gain is the excess of the total capital gain over the inflationary surplus.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Israeli Resident Shareholders</w:t>
      </w:r>
    </w:p>
    <w:p>
      <w:pPr>
        <w:spacing w:after="0" w:line="9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Generally, the tax rate applicable to real capital gains derived from the sale of our ordinary shares or warrants acquired pursuant to this offering is 25% for Israeli individuals, unless such shareholder claims a deduction for interest and linkage differences expenses in connection with such shares, in which case the gain will generally be taxed at a rate of 30%. Additionally, if such shareholder is considered a “significant shareholder” at the time of the sale or at any time during the 12-month period preceding such sale, the tax rate will be 30%. A “significant shareholder” is defined as a person who holds, directly or indirectly, including together with others, at least 10% of any means of control in the company (including, among other things, the right to receive profits of the company, voting rights, the right to receive the company’s liquidation proceeds and the right to appoint a director). However, different tax rates will apply to dealers in securities, whose income from the sale of securities is considered “business income”. An additional tax of 3% will be imposed on individuals whose annual taxable income exceeds a certain threshold (NIS 641,880 for 2018). Israeli companies are subject to the corporate tax rate on real capital gains derived from the sale of shares at the rate of 23%. Individual and corporate shareholders dealing in securities in Israel are taxed at the tax rates applicable to “business income”: currently, 23% for corporations and a marginal tax rate of up to 47% for individuals, plus an additional tax of 3%, which is imposed on individuals whose annual taxable income exceeds a certain threshold (NIS 641,880 for 2018).</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Non-Israeli Resident Shareholders</w:t>
      </w:r>
    </w:p>
    <w:p>
      <w:pPr>
        <w:spacing w:after="0" w:line="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Non-Israeli residents (individuals and corporations) are generally exempt from Israeli capital gains tax on any gains derived from the sale, exchange or disposition of shares of Israeli companies publicly traded on a recognized stock exchange outside of Israel, provided, among other things, that such shareholders did not acquire their shares prior to the company’s initial public offering and the gains were not derived from a permanent establishment of such shareholders in Israel. The sale, exchange or other disposition of our warrants are generally exempt from capital gains tax in Israel by a non-Israeli resident holder provided, among other things, that (i) the gains were not derived from a permanent establishment of such holder in Israel; (ii) the warrants were not purchased from a related party or by way of certain tax-free reorganizations, and (iii) the warrants are not traded on an Israeli stock exchange on the date of sale. However, shareholders and holders of warrants that are non-Israeli entities will not be entitled to such exemption if Israeli residents hold an interest of more than 25% in such non-Israeli entities or are the beneficiaries of or are entitled to 25% or more of the revenues or profits of such non-Israeli entity, whether directly or indirectly. This exemption is not applicable to a person whose gains from selling or otherwise disposing of the shares are deemed to be business income.</w:t>
      </w:r>
    </w:p>
    <w:p>
      <w:pPr>
        <w:spacing w:after="0" w:line="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pursuant to the Convention between the Government of the United States of America and the Government of Israel with respect to Taxes on Income, as amended, or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U.S.-Israel Tax Treaty, capital gains arising from the sale, exchange or disposition of ordinary shares by a person who qualifies as a resident of the United States within the meaning of the U.S.-Israel Tax Treaty and who holds the shares as a capital asset and is entitled to claim the benefits afforded to such person by the U.S.-Israel Tax Treaty generally will not be subject to the Israeli capital gains tax unless (i) such person holds, directly or indirectly, shares representing 10% or more of our voting power during any part of the 12-month period preceding such sale, exchange or disposition, subject to particular conditions, (ii) the capital gains from such sale, exchange or disposition can be allocated to a permanent establishment of the shareholder in Israel or (iii) such person is an individual and was present in Israel for a period or periods of 183 days or more in the aggregate during the relevant tax year. In any such case, the sale, exchange or disposition of such shares would be subject to Israeli tax, to the extent applicable. Eligibility to benefit from tax treaties is conditioned upon the shareholder presenting a withholding certificate issued by the Israel Tax Authority prior to the applicable payment.</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Exercise and Lapse of Warrants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discussion relating to our warrants is not applicable to holders of warrants who are deemed “controlling members” as defined in Section 3(i) of the Ordinance, which generally means a holder who holds or is entitled to acquire, directly or indirectly, alone or together with his relative, (i) at least 5% of our issued share capital; (ii) at least 5% of our voting power; (iii) the right to receive at least 5% of our profits or assets upon winding up; or (iv) the right to appoint a director. A relative for this purpose means a spouse, brother, sister, parent, parent’s parent, descendant, the spouse’s descendant and the spouse of any of the foresaid. Such holders should consult with their own tax advisors regarding the potential tax implications to them of the receipt or exercise of our warrants.</w:t>
      </w:r>
    </w:p>
    <w:p>
      <w:pPr>
        <w:spacing w:after="0" w:line="85"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Holders of our warrants generally will not recognize gain or loss upon the exercise of our warrants for cash. An ordinary share acquired pursuant to the exercise of a warrant for cash generally will have a tax basis equal to the holder’s tax basis in the warrant, increased by the amount paid to exercise the warrant. If a warrant is allowed to lapse unexercised, the holder generally will recognize a capital loss equal to such holder’s tax basis in the warrant.</w:t>
      </w:r>
    </w:p>
    <w:p>
      <w:pPr>
        <w:spacing w:after="0" w:line="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It is possible that a cashless exercise of a warrant would be treated as a taxable exchange in which gain or loss is recognized. In such event, a holder could be deemed to have surrendered a number of warrants with a fair market value equal to the exercise price for the number of warrants deemed exercised. For this purpose, the number of warrants deemed exercised would be equal to the number of warrants that would entitle the holder to receive upon exercise the number of ordinary shares issued pursuant to the cashless exercise of the warrants. In this situation, the holder would recognize capital gain or loss in an amount equal to the difference between the fair market value of the warrants deemed surrendered to pay the exercise price and the holder’s tax basis in the warrants deemed surrendered.</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Holders of warrants should consult with their own tax advisors regarding the manner in which such holders’ tax basis in each unit purchased in this offering is allocated among ordinary shares and warrants, the calculation of any tax basis adjustments and the calculation of capital gains upon the sale or other disposition of our warrants.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Withholding and Reporting</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Either the purchaser, the Israeli stockbrokers or financial institutions through which the shares and warrants are held is obliged to withhold tax on the amount of consideration paid upon the sale of such securities (or on the capital gain realized on the sale, if known) at the Israeli corporate tax rate for Israeli companies (currently 23%). In case the seller is an individual, the applicable withholding tax rate would be 25% of the amount of consideration paid upon the sale of such securities (or on the capital gain realized on the sale, if known).</w:t>
      </w:r>
    </w:p>
    <w:p>
      <w:pPr>
        <w:spacing w:after="0" w:line="7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or warrants, the payment of the consideration may be subject to the withholding of Israeli tax at source. Shareholders, including non-Israeli resident shareholders, may be required to demonstrate that they are exempt from tax on their capital gains in order to avoid withholding at source at the time of sale. In transactions involving a sale of all of the securities of an Israeli resident company, in the form of a merger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or otherwise, the Israel Tax Authority may require non-Israeli resident shareholders who are not liable for Israeli tax to sign a declaration in a form specified by the Israel Tax Authority or obtain a specific exemption from the Israel Tax Authority to confirm their status as a non-resident of Israel, and, in the absence of such declarations or exemptions, may require the purchaser of the securities to withhold taxes at source.</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sale of securities traded on a stock exchange, a detailed return, including a computation of the tax due, must be filed and an advanced payment must be paid on January 31 and June 30 of every tax year in respect of sales of securities made within the previous six months. However, if all tax due was withheld at source according to applicable provisions of the Ordinance and the regulations promulgated thereunder, then the aforementioned return need not be filed and no advance payment must be made.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 Distributions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Israeli Residents</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Israeli resident individuals are generally subject to Israeli income tax on the receipt of dividends paid on our ordinary shares (other than bonus shares). The tax rate applicable to such dividends is 25% or 30% for a shareholder that is considered a “significant shareholder” (as defined above) at any time during the 12-month period preceding such distribution. Dividends paid from income attributed to Preferred Enterprises are generally subject to tax at the rate of 20%. Dividends distributed by a Preferred Technology Enterprise or a Special Preferred Technology Enterprise, paid out of Preferred Technology Income, are generally subject to tax at the rate of 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Israeli resident companies are generally exempt from tax on the receipt of dividends paid on our ordinary shares.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the dividend is attributable partly to income derived from a Preferred Enterprise or to Preferred Technology Income of a Preferred Technology Enterprise or a Special Preferred Technology Enterprise and partly to other sources of income, the tax rate will be a blended rate reflecting the relative portions of the two types of income. We cannot assure you that we will designate the profits that may be distributed in a way that will reduce shareholders’ tax liability.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Moreover, an additional tax of 3% will be imposed on individuals whose annual taxable income exceeds a certain threshold (NIS 641,880 for 2018).</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Non-Israeli Residents</w:t>
      </w:r>
    </w:p>
    <w:p>
      <w:pPr>
        <w:spacing w:after="0" w:line="10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Non-residents of Israel (whether individuals or corporations) are generally subject to Israeli income tax on the receipt of dividends paid on ordinary shares at the rate of 25%, or 30% for a shareholder that is considered a “significant shareholder” (as defined above) at any time during the 12-month period preceding such distribution, or 20% if the dividend is distributed from income attributable to a Preferred Enterprise, Preferred Technology Enterprise or Special Preferred Technology Enterprise, which tax is to be withheld at source. Dividends not derived from income attributable to a Preferred Enterprise, Preferred Technology Enterprise or Special Preferred Technology Enterprise, are generally subject to Israeli withholding tax at a rate of 25% so long as the shares of a publicly traded company are registered with a nominee company (regardless of whether the recipient is a significant shareholder), unless a different rate is provided in a treaty between Israel and the shareholder’s country of residence.</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U.S.-Israel Tax Treaty, the maximum rate of tax withheld in Israel on dividends paid to a holder of ordinary shares who qualifies as a resident of the United States within the meaning of the U.S.-Israel Tax Treaty is 25%. Such tax rate is generally reduced to 12.5% (for distribution of income that is not attributable to a Preferred Enterprise Preferred Technology Enterprise or Special Preferred Technology Enterprise) if the shareholder is a U.S. corporation and holds at least 10% of our issued voting power during the tax year in which the dividend is distributed as well as during the whole of its prior tax year, provided that not more than 25% of the gross income for such preceding year consists of certain types of interest or dividends and a certificate for a reduced withholding tax rate is obtained in advance from the Israeli Tax Authority.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aforementioned rates under the U.S.-Israel Double Tax Treaty will not apply if the dividend income was derived through a permanent establishment of the U.S. resident in Israel.</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non-Israeli resident who receives dividend income derived from or accrued from Israel, from which the full amount of tax was withheld at source, is generally exempt from the obligation to file tax returns in Israel with respect to such income, provided that (i) such income was not generated from business conducted in Israel by the taxpayer, and (ii) the taxpayer has no other taxable sources of income in Israel with respect to which a tax return is required to be filed.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Eligibility to benefit from tax treaties is conditioned upon the shareholder presenting a withholding certificate issued by the Israel Tax Authority prior to the applicable dividend distribution.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Warrants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discussed above under “Dividend Policy,” we do not currently expect to make distributions on our ordinary shares. However, if we make any distributions on our ordinary shares (including cash distributions), we will be required to make distributions to holders of warrants as described under “Description of Warrants — Certain Adjustments”. The gross amount of any such distributions to holders of warrants may be treated as ordinary income for Israeli income tax purposes and subject to ordinary income tax rates. Under applicable law, we will have withholding obligations and may be required to withhold from the gross amount of such distribution at rates which could be up to the highest tax rates applicable to ordinary income. Holders of our warrants should consult their own tax advisers concerning the Israeli income tax treatment of distributions on our warrants including, with respect to non-Israeli resident holders, the credibility of any Israeli taxes withheld on such distributions.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Tax</w:t>
      </w:r>
    </w:p>
    <w:p>
      <w:pPr>
        <w:spacing w:after="0" w:line="10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Individuals who are subject to tax in Israel are also subject to an additional tax at a rate of 3% on annual income exceeding a certain threshold (NIS 641,880 for 2018), which amount is linked to the annual change in the Israeli consumer price index, including, but not limited to, dividends, interest and capital gain, subject to the provisions of an applicable tax treaty.</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opinion of Davis Polk &amp; Wardwell LLP, the following are material U.S. federal income tax consequences to the U.S. Holders described below of owning and disposing of our ordinary shares and warrants, but it does not purport to be a comprehensive description of all the tax considerations that may be relevant to a particular person’s decision to acquire the ordinary shares and warrants. This discussion applies only to a U.S. Holder that acquires our ordinary shares and warrants in this offering and holds them as capital assets for U.S. federal income tax purposes. This discussion does not address tax consequences of a Fundamental Transaction to U.S. Holders. In addition, it does not describe all of the tax consequences that may be relevant in light of a U.S. Holder’s particular circumstances, including alternative minimum tax consequences, any aspect of the provisions of the Internal Revenue Code of 1986, as amended, or the Code, commonly known as the Medicare tax and tax consequences applicable to U.S. Holders subject to special rules, such as:</w:t>
      </w:r>
    </w:p>
    <w:p>
      <w:pPr>
        <w:spacing w:after="0" w:line="140" w:lineRule="exact"/>
        <w:rPr>
          <w:sz w:val="20"/>
          <w:szCs w:val="20"/>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184"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holding ordinary shares or warrants as part of a “straddle” or integrated transaction or persons entering into a constructive sale with respect to the ordinary shares or warrants;</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 exempt entities, “individual retirement accounts” or “Roth IRAs”;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holding our ordinary shares in connection with a trade or business conducted outside of the United States.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owns our ordinary shares or warrants, the U.S. federal income tax treatment of a partner will generally depend on the status of the partner and the activities of the partnership. Partnerships owning our ordinary shares or warrants and partners in such partnerships should consult their tax advisers as to the particular U.S. federal tax consequences of owning and disposing of the ordinary shares or warrants.</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discussion is based on the Code, administrative pronouncements, judicial decisions, and final and proposed Treasury regulations, changes to any of which subsequent to the date of this offering may affect the tax consequences described herein.</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purposes of this discussion, a “U.S. Holder” is a person who, for U.S. federal income tax purposes, is a beneficial owner of ordinary shares and warrants and is:</w:t>
      </w:r>
    </w:p>
    <w:p>
      <w:pPr>
        <w:spacing w:after="0" w:line="130" w:lineRule="exact"/>
        <w:rPr>
          <w:sz w:val="20"/>
          <w:szCs w:val="20"/>
          <w:color w:val="auto"/>
        </w:rPr>
      </w:pPr>
    </w:p>
    <w:p>
      <w:pPr>
        <w:ind w:left="720" w:hanging="352"/>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84"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foreign tax consequences of owning and disposing of our ordinary shares and warrants in their particular circumstances.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determining their tax basis for the ordinary shares and warrants purchased together, U.S. Holders are required to allocate their total purchase price between the ordinary shares and warrants on the basis of their relative fair market values at the time of issuance.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Ordinary Shares</w:t>
      </w:r>
    </w:p>
    <w:p>
      <w:pPr>
        <w:spacing w:after="0" w:line="108"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As discussed above under “Dividend Policy,” we currently do not expect to make distributions on our ordinary shares. Subject to the discussion below under “Passive Foreign Investment Company Rules,” any distributions paid on our ordinary shares (other than certain pro-rata distributions of ordinary shares) will be treated as dividends to the extent paid out of our current or accumulated earnings and profits (as determined under U.S. federal income tax principles).</w:t>
      </w:r>
    </w:p>
    <w:p>
      <w:pPr>
        <w:ind w:right="80"/>
        <w:spacing w:after="0" w:line="271" w:lineRule="auto"/>
        <w:rPr>
          <w:sz w:val="20"/>
          <w:szCs w:val="20"/>
          <w:color w:val="auto"/>
        </w:rPr>
      </w:pPr>
      <w:r>
        <w:rPr>
          <w:rFonts w:ascii="Arial" w:cs="Arial" w:eastAsia="Arial" w:hAnsi="Arial"/>
          <w:sz w:val="17"/>
          <w:szCs w:val="17"/>
          <w:color w:val="auto"/>
        </w:rPr>
        <w:t>Because we do not calculate our earnings and profits under U.S. federal income tax principles, it is expected that distributions generally will be reported to U.S. Holders as dividends. Subject to applicable limitations, dividends paid to certain non-corporate U.S. Holders may be taxable at the favorable tax rates applicable to “qualified dividend income”. Non-corporate U.S. Holders should consult their tax advisers regarding the availability of these favorable rates on dividends in their particular circumstances. Dividends will not be eligible for the dividends received deduction generally available to U.S. corporations under the Code and will generally be included in a U.S. Holder’s income on the date of receipt.</w:t>
      </w:r>
    </w:p>
    <w:p>
      <w:pPr>
        <w:spacing w:after="0" w:line="7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Dividend income will include any amounts withheld in respect of Israeli taxes, and will be treated as foreign source income for foreign tax credit purposes. Subject to applicable limitations, some of which vary depending upon the U.S. Holder’s circumstances, Israeli taxes withheld from dividends on our ordinary shares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U.S. Holders may elect to deduct foreign taxes (including Israeli taxes) in computing their taxable income, subject to applicable limitations. An election to deduct foreign taxes instead of claiming foreign tax credits applies to all foreign taxes paid or accrued in the taxable year.</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dividend is paid in foreign currency, the amount of dividend income will be the dividend’s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of Ordinary Shares</w:t>
      </w:r>
    </w:p>
    <w:p>
      <w:pPr>
        <w:spacing w:after="0" w:line="10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Subject to the discussion below under “Passive Foreign Investment Company Rules,” gain or loss realized on the sale or other taxable disposition of our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See “— Sale or Other Disposition, Exercise or Expiration of Warrants” below for a discussion regarding a U.S. Holder’s tax basis and holding period for ordinary shares acquired pursuant to an exercise of warrants. This gain or loss will generally be U.S. source gain or loss for foreign tax credit purposes. The deductibility of capital losses is subject to limitations.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Exercise or Expiration of Warrants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discussion below under “Passive Foreign Investment Company Rules,” gain or loss realized on the sale or other disposition of a warrant (other than by way of exercise) will be capital gain or loss and will be long-term capital gain or loss if the U.S. Holder held the warrant for more than one year at the time of the sale or disposition. The amount of the gain or loss will equal the difference between the U.S. Holder’s tax basis in the warrants disposed of and the amount realized on the disposition.</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general, a U.S. Holder will not be required to recognize income, gain or loss upon the exercise of a warrant by payment of the exercise price in cash. A U.S. Holder’s tax basis in ordinary shares received upon exercise of warrants will be equal to the sum of (1) the U.S. Holder’s tax basis in the warrant and (2) the exercise price of the warrant. A U.S. Holder’s holding period in the ordinary shares received upon exercise will commence on the day the warrants are exercised.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there is no direct legal authority as to the U.S. federal income tax treatment of an exercise of a warrant on a cashless basis, we believe that it is reasonable to take the position that such exercise will not be taxable (except with respect to cash received in lieu of a fractional ordinary share), either because the exercise is not a gain realization event or because it qualifies as a tax-free recapitalization. In the former case, subject to the discussion below under “— Passive Foreign Investment Company Rules,” the holding period of the ordinary shares should commence on the day the warrants are exercised. In the latter case, the holding period of the ordinary shares would include the holding period of the exercised warrants. In either case, the U.S. Holder’s tax basis in the ordinary shares (including any fractional ordinary share) received generally would equal the U.S. Holder’s tax basis in the warrants. However, such position regarding the treatment of a cashless exercise is not binding on the Internal Revenue Service, or the IRS, and the IRS may treat a cashless exercise of a warrant as a taxable exchange. U.S. Holders are urged to consult their tax advisers as to the consequences of an exercise of a warrant on a cashless basis. The receipt of cash in lieu of a fractional ordinary share should result in a capital gain or loss equal to the difference between the cash received and the U.S. Holder’s tax basis in the ordinary shares allocable to the fractional share.</w:t>
      </w:r>
    </w:p>
    <w:p>
      <w:pPr>
        <w:spacing w:after="0" w:line="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If a warrant expires without being exercised, a U.S. Holder will recognize a capital loss in an amount equal to such U.S. Holder’s tax basis in the warrant. This loss will be long-term capital loss if, at the time of the expiration, the U.S. Holder’s holding period in the warrant is more than one year. The deductibility of capital losses is subject to limitations.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Warrants</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discussed above under “Dividend Policy,” we do not currently expect to make distributions on our ordinary shares. However, if we make any distributions on our ordinary shares (including cash distributions), we will be required to make distributions to holders of warrants as described under “Description of Warrants — Certain Adjustments”. The gross amount of any such distributions to U.S. Holders of warrants (including any amounts withheld in respect of Israeli taxes) will be treated as ordinary income for U.S. federal income tax purposes. U.S. Holders should expect that any such distributions will not qualify for the preferential tax rates applicable to qualified dividend income of non-corporate shareholders. In addition, if we are a PFIC for any taxable year, under proposed Treasury regulations any such distributions could be subject to the adverse PFIC rules described in “— Passive Foreign Investment Company Rules.” U.S. Holders should consult their tax advisers concerning the U.S. federal income tax treatment of distributions on warrants, including the credibility of any Israeli taxes withheld on such distributions.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10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may be a “passive foreign investment company,” or a PFIC, for our current or any future taxable year. In general, a non-U.S. corporation is a PFIC for any taxable year in which (i) 75% or more of its gross income consists of passive income, the income test or (ii) 50% or more of the average quarterly value of its assets consists of assets that produce, or are held for the production of, passive income, the assets test. Generally, “passive income” includes interest, dividends, rents, royalties and certain gains, and cash (including cash raised in this offering) is a passive asset for PFIC purposes.</w:t>
      </w:r>
    </w:p>
    <w:p>
      <w:pPr>
        <w:spacing w:after="0" w:line="4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the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IRS will respect, or a court will uphold, such position.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purposes of the assets test and income test,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attribution rules, if we were a PFIC for any taxable year and had any subsidiaries or other entities in which we held a direct or indirect equity interest that are also PFICs, or Lower-tier PFICs, U.S. Holders would be deemed to own their proportionate share of any such Lower-tier PFICs and would be subject to U.S. federal income tax according to the rules described in the following paragraph on (i) certain distributions by a Lower-tier PFIC and (ii) a disposition of shares of a Lower-tier PFIC, in each case as if the U.S. Holders held such shares or equity interests directly, even if the U.S. Holders do not receive the proceeds of those distributions or dispositions.</w:t>
      </w:r>
    </w:p>
    <w:p>
      <w:pPr>
        <w:spacing w:after="0" w:line="8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If we were a PFIC for any taxable year during which a U.S. Holder held our ordinary shares (and, under proposed Treasury regulations, warrants), an adverse tax regime would apply to the U.S. Holder’s investment in our ordinary shares (and warrants). Generally, gain recognized upon a taxable disposition (including, under certain circumstances, a pledge) of ordinary shares (or, under proposed Treasury regulations, warrants) by the U.S. Holder would be allocated ratably over the U.S. Holder’s holding period for such ordinary shares (or warrants). The amounts allocated to the taxable year of disposition and to taxable years prior to the first taxable year in which we were a PFIC would be taxed as ordinary income. The amount allocated to each other taxable year would be subject to tax at the highest tax rate in effect for that taxable year for individuals or corporations, as appropriate, and an interest charge would be imposed on the resulting tax liability for each such year. Further, to the extent that any distribution received by a U.S. Holder on ordinary shares (or, under proposed Treasury regulations, warrants) exceeded 125% of the average of the annual distributions received on such ordinary shares (or warrants) during the preceding three years or the U.S. Holder’s holding period, whichever is shorter, that distribution would be subject to taxation in the same manner. Under proposed Treasury regulations, if we were a PFIC during any taxable year during which a U.S. Holder held our warrants, the holding period for the ordinary shares received upon exercise of such warrants would include the holding period of the warrants.</w:t>
      </w:r>
    </w:p>
    <w:p>
      <w:pPr>
        <w:spacing w:after="0" w:line="6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Alternatively, if we were a PFIC and if the ordinary shares were “regularly traded” on a “qualified exchange,” a U.S. Holder might be able to make a mark-to-market election with respect to our ordinary shares (but generally not with respect to Lower-tier PFICs, if any) that would result in tax treatment different from the general tax treatment for PFICs described above. The ordinary shares would be treated as “regularly traded” in any calendar year in which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of the ordinary shares were traded on a qualified exchange on at least 15 days during each calendar quarter. The NASDAQ Capital Market, where our ordinary shares are expected to be listed, is a qualified exchange for this purpose. If a U.S. Holder makes the mark-to-market election, the U.S. Holder generally will recognize in each year that we are a PFIC as ordinary income any excess of the fair market value of the ordinary shares at the end of the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In addition, if a U.S. Holder makes the mark-to-market election, any gain that the U.S. Holder recognizes on the sale or other disposition of ordinary shares in a year in which we are a PFIC will be treated as ordinary income and any loss will be treated as an ordinary loss (but only to the extent of the net amount of income previously included as a result of the mark-to-market election). Under current law, a mark-to-market election is not available with respect to the warrants. U.S. Holders should consult their tax advisers regarding the availability and advisability of making a mark-to-market election in their particular circumstances.</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a further alternative tax treatment.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were a PFIC for any year during which a U.S. Holder owns ordinary shares (or, under proposed Treasury regulations, warrants), we generally would continue to be treated as a PFIC with respect to such U.S. Holder’s ordinary shares (or warrants) unless (a) we ceased to be a PFIC and (b) the U.S. Holder has made a “deemed sale” election under the PFIC rules which may result in recognition of gain (but not loss), taxable under the PFIC rules described above, without the receipt of any corresponding cash.</w:t>
      </w:r>
    </w:p>
    <w:p>
      <w:pPr>
        <w:spacing w:after="0" w:line="79"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If we were a PFIC or, with respect to a particular U.S. Holder, were treated as a PFIC for the taxable year in which we pay a dividend or the prior taxable year, the preferential rates discussed above with respect to dividends paid to certain non-corporate U.S. Holders of our ordinary shares would not apply. In addition, if we were a PFIC for any taxable year during which a U.S. Holder owns ordinary shares (or, under proposed Treasury regulations, warrants), the U.S. Holder would be required to file annual reports with the IRS, subject to certain exceptions.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U.S. Holders should consult their tax advisers regarding the potential application of the PFIC rules to an investment in our ordinary shares and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Payments of distributions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U.S. Holders who are individuals and certain closely-held entities may be required to report information relating to the ordinary shares and warrants, unless the ordinary shares or warrants are held in an account maintained by a financial institution (in which case the account itself may be reportable if maintained by a non-U.S. financial institution). U.S. Holders should consult their tax advisors regarding their reporting obligations with respect to their ownership and disposition of the ordinary shares and warrants.</w:t>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10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Prior to this offering, there has been no public market for our ordinary shares or warrants. Future sales of our ordinary shares or warrants in the public market, or the availability of such securities for sale in the public market, could adversely affect market prices prevailing from time to time. As described below, only a limited number of ordinary shares or warrants will be available for sale shortly after this offering due to contractual and legal restrictions on resale.</w:t>
      </w:r>
    </w:p>
    <w:p>
      <w:pPr>
        <w:spacing w:after="0" w:line="261" w:lineRule="auto"/>
        <w:rPr>
          <w:sz w:val="20"/>
          <w:szCs w:val="20"/>
          <w:color w:val="auto"/>
        </w:rPr>
      </w:pPr>
      <w:r>
        <w:rPr>
          <w:rFonts w:ascii="Arial" w:cs="Arial" w:eastAsia="Arial" w:hAnsi="Arial"/>
          <w:sz w:val="18"/>
          <w:szCs w:val="18"/>
          <w:color w:val="auto"/>
        </w:rPr>
        <w:t>Nevertheless, sales of our ordinary shares in the public market after such restrictions lapse, or the perception that those sales may occur, could adversely affect the prevailing market price at such time and our ability to raise equity capital in the future.</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the number of ordinary shares outstanding as of March 31, 2018, upon completion of this offering 11,361,654 ordinary shares will be outstanding (which includes 4,905,420 ordinary shares issuable upon the conversion of our preferred shares that will be outstanding upon the closing of this offering 622,180 ordinary shares issuable upon the conversion of our convertible loans that will be outstanding upon the closing of this offering and the issuance of 10,000 ordinary shares to the representative upon the closing of this offering), after giving effect to the 1-for- 130 split of our ordinary shares that is described elsewhere in this prospectus, assuming no exercise of options or outstanding warrants or the underwriters’ option to purchase additional ordinary shares from us.</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Of these shares, the 1,333,334 ordinary shares sold in this offering will be freely tradable without restriction or further registration under the Securities Act, unless purchased by our “affiliates,” as that term is defined in Rule 144 under the Securities Act. The remaining 10,028,320 ordinary shares outstanding after this offering will be “restricted securities” under Rule 144, and substantially all of these restricted securities will be subject to the 180-day lock-up period under the lock-up agreements described below. Following the expiration of these lock-up periods, those shares may be registered or may be eligible for resale in compliance with Rules 144 or 701 under the Securities Act, as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executive officers, directors, and certain of our shareholders have agreed not to offer, sell, agree to sell, directly or indirectly, or otherwise dispose of any ordinary shares or any securities convertible into or exchangeable for ordinary shares except for the securities offered in this offering or purchased in the open market without the prior written consent of Maxim Group LLC for a period of 180 days after the date of this prospectus, subject to certain exceptions. After the expiration of the 180-day period, the ordinary shares may be sold subject to the restrictions under Rule 144 or 701 under the Securities Act or by means of registered public offerings. Certain securities held by our shareholders shall not be subject to any such lock-up period, other than as required by applicable law, rule or regulation. The underwriters may, in their sole discretion, at any time without prior notice, release all or any portion of the shares from the restrictions in any such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Affiliate Resales of Restricted Securities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any of our shares for at least six months would be entitled to sell in “broker’s transactions” or certain “riskless principal transactions” or to market makers, a number of shares within any three-month period that does not exceed the greater of:</w:t>
      </w:r>
    </w:p>
    <w:p>
      <w:pPr>
        <w:spacing w:after="0" w:line="52" w:lineRule="exact"/>
        <w:rPr>
          <w:sz w:val="20"/>
          <w:szCs w:val="20"/>
          <w:color w:val="auto"/>
        </w:rPr>
      </w:pPr>
    </w:p>
    <w:p>
      <w:pPr>
        <w:ind w:left="720" w:hanging="352"/>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of the number of shares of our shares then outstanding, which will equal approximately shares immediately after this offering; or</w:t>
      </w:r>
    </w:p>
    <w:p>
      <w:pPr>
        <w:spacing w:after="0" w:line="90" w:lineRule="exact"/>
        <w:rPr>
          <w:rFonts w:ascii="Arial" w:cs="Arial" w:eastAsia="Arial" w:hAnsi="Arial"/>
          <w:sz w:val="18"/>
          <w:szCs w:val="18"/>
          <w:color w:val="auto"/>
        </w:rPr>
      </w:pPr>
    </w:p>
    <w:p>
      <w:pPr>
        <w:ind w:left="720" w:right="820" w:hanging="352"/>
        <w:spacing w:after="0" w:line="277"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such sale.</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Affiliate resales under Rule 144 also are subject to the availability of current public information about us. In addition, if the number of securities being sold under Rule 144 by an affiliate during any three-month period exceeds 5,000 securities or has an aggregate sale price in excess of $50,000, the seller must file 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notice on Form 144 with the SEC and concurrently with either the placing of a sale order with the broker or the execution directly with a market maker.</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Nonaffiliate Resales of Restricted Securities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shares for at least six months but less than a year, is entitled to sell such securities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Nonaffiliate resales are not subject to the manner of sale, volume limitation or notice filing provisions of Rule 144.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under Rule 701 of the Securities Act, each of our employees, consultants or advisors who acquires our ordinary shares from us in connection with a compensatory share plan or other written agreement executed prior to the closing of this offering is eligible to resell such ordinary shares in reliance on Rule 144, but without compliance with some of the restrictions, including the holding period, contained in Rule 144.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After the completion of this offering, we intend to file one or more registration statements on Form S-8 under the Securities Act covering our shares subject to outstanding options and shares issuable under the Plan, permitting the resale of such shares by nonaffiliates in the public market without restriction under the Securities Act and the sale by affiliates in the public market, subject to compliance with the resale provisions of Rule 144. Accordingly, our shares registered under any such registration statement will be available for sale in the open market upon exercise by the holders, subject to vesting and holding restrictions, as applicable, Rule 144 limitations applicable to our affiliates and the contractual lock-up provisions described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Upon completion of this offering, the holders of 9,273,290 ordinary shares will be entitled to various rights with respect to the registration of these shares under the Securities Act. Registration of these shares would result in these shares becoming freely tradable without restriction under the Securities Act immediately upon the registered sale of such securities.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Demand Registration Rights</w:t>
      </w:r>
    </w:p>
    <w:p>
      <w:pPr>
        <w:spacing w:after="0" w:line="10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Pursuant to the investors’ rights agreement, at any time beginning 180 days after the closing of this offering and for so long as we are eligible to file a registration statement on Form F-3, any shareholder or group of shareholders holding an aggregate of at least 10% of the registrable securities under the investors’ rights agreement that are not held by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Form F-3 Registration Statement</w:t>
      </w:r>
    </w:p>
    <w:p>
      <w:pPr>
        <w:spacing w:after="0" w:line="10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After we become eligible to file a registration statement on Form F-3, which will not be until at least 12 months after the date of this prospectus, any shareholder or group of shareholders holding an aggregate of at least 10% of the registrable securities under the investors’ rights agreement that are not held by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use this exemption more than once in any 12-month period. We also have the right not to effect a Form F-3 registration statement during the period from 60 days prior to the filing of, to six months following the effective date of, a previous registration statements.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investors’ rights agreement also provides our shareholders with “piggy back” registration rights in the event that we determine to register the sale of any of our securities following this offering. With respect to such registration rights, we have committed to use our reasonable best efforts to include in a registration statement a prospectus relating to the resale of certain securities held by certain of our shareholders, or to file concurrently with the application of this registration statement a separate registration statement with respect to the resale under the Securities Act of such securities held by such shareholders, so as to permit their disposition (such securities held by such shareholders and the rights attached to such securities are freely transferable by such shareholders).</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We entered into an underwriting agreement with the underwriters named below on</w:t>
      </w:r>
      <w:r>
        <w:rPr>
          <w:sz w:val="20"/>
          <w:szCs w:val="20"/>
          <w:color w:val="auto"/>
        </w:rPr>
        <w:tab/>
      </w:r>
      <w:r>
        <w:rPr>
          <w:rFonts w:ascii="Arial" w:cs="Arial" w:eastAsia="Arial" w:hAnsi="Arial"/>
          <w:sz w:val="16"/>
          <w:szCs w:val="16"/>
          <w:color w:val="auto"/>
        </w:rPr>
        <w:t>, 2018. Maxim Group LLC is acting as the representative of</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underwriters. The underwriting agreement provides for the purchase of a specific number of units by each of the underwriters. The underwriters’ obligations are several, which means that each underwriter is required to purchase a specified number of units, but is not responsible for the commitment of any other underwriter to purchase units. Subject to the terms and conditions of the underwriting agreement, each underwriter has severally agreed to purchase the number of units set forth opposite its name below:</w:t>
      </w:r>
    </w:p>
    <w:p>
      <w:pPr>
        <w:sectPr>
          <w:pgSz w:w="11900" w:h="16838" w:orient="portrait"/>
          <w:cols w:equalWidth="0" w:num="1">
            <w:col w:w="11420"/>
          </w:cols>
          <w:pgMar w:left="240" w:top="132" w:right="239" w:bottom="1440" w:gutter="0" w:footer="0" w:header="0"/>
        </w:sect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Units</w:t>
      </w:r>
    </w:p>
    <w:p>
      <w:pPr>
        <w:spacing w:after="0" w:line="74" w:lineRule="exact"/>
        <w:rPr>
          <w:sz w:val="20"/>
          <w:szCs w:val="20"/>
          <w:color w:val="auto"/>
        </w:rPr>
      </w:pPr>
    </w:p>
    <w:p>
      <w:pPr>
        <w:sectPr>
          <w:pgSz w:w="11900" w:h="16838" w:orient="portrait"/>
          <w:cols w:equalWidth="0" w:num="2">
            <w:col w:w="9760" w:space="720"/>
            <w:col w:w="940"/>
          </w:cols>
          <w:pgMar w:left="240" w:top="132" w:right="23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Maxim Group LLC</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Joseph Gunnar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31750</wp:posOffset>
            </wp:positionV>
            <wp:extent cx="231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underwriters have agreed to purchase all of the units offered by this prospectus (other than the additional ordinary shares and/or warrants covered by the over-allotment option described below) if any are purchased.</w:t>
      </w:r>
    </w:p>
    <w:p>
      <w:pPr>
        <w:spacing w:after="0" w:line="6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The units offered hereby are expected to be ready for delivery on or about</w:t>
      </w:r>
      <w:r>
        <w:rPr>
          <w:sz w:val="20"/>
          <w:szCs w:val="20"/>
          <w:color w:val="auto"/>
        </w:rPr>
        <w:tab/>
      </w:r>
      <w:r>
        <w:rPr>
          <w:rFonts w:ascii="Arial" w:cs="Arial" w:eastAsia="Arial" w:hAnsi="Arial"/>
          <w:sz w:val="16"/>
          <w:szCs w:val="16"/>
          <w:color w:val="auto"/>
        </w:rPr>
        <w:t>, 2018 against payment in immediately available funds.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underwriters are offering the units subject to various conditions and may reject all or part of any order. The representative of the underwriters has advised us that the underwriters propose initially to offer the units to the public at the public offering price set forth on the cover page of this prospectus and to dealers</w:t>
      </w:r>
    </w:p>
    <w:p>
      <w:pPr>
        <w:ind w:right="760"/>
        <w:spacing w:after="0" w:line="261" w:lineRule="auto"/>
        <w:rPr>
          <w:sz w:val="20"/>
          <w:szCs w:val="20"/>
          <w:color w:val="auto"/>
        </w:rPr>
      </w:pPr>
      <w:r>
        <w:rPr>
          <w:rFonts w:ascii="Arial" w:cs="Arial" w:eastAsia="Arial" w:hAnsi="Arial"/>
          <w:sz w:val="18"/>
          <w:szCs w:val="18"/>
          <w:color w:val="auto"/>
        </w:rPr>
        <w:t>at a price less a concession not in excess of $ per units to brokers and dealers. After the ordinary shares are released for sale to the public, the representative may change the offering price, the concession, and other selling terms at various times.</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 permits the underwriters to purchase a maximum of 200,000 additional ordinary shares and/or 200,000 additional warrants to purchase up to 100,000 ordinary shares to cover over-allotments, if any. If the underwriters exercise all or part of this option, they will purchase ordinary shares covered by the option at the public offering price that appears on the cover page of this prospectus, less the underwriting discounts and commissions. If this option is exercised in full, the total</w:t>
      </w:r>
    </w:p>
    <w:p>
      <w:pPr>
        <w:spacing w:after="0" w:line="2" w:lineRule="exact"/>
        <w:rPr>
          <w:sz w:val="20"/>
          <w:szCs w:val="20"/>
          <w:color w:val="auto"/>
        </w:rPr>
      </w:pPr>
    </w:p>
    <w:p>
      <w:pPr>
        <w:spacing w:after="0"/>
        <w:tabs>
          <w:tab w:leader="none" w:pos="2060" w:val="left"/>
          <w:tab w:leader="none" w:pos="6440" w:val="left"/>
        </w:tabs>
        <w:rPr>
          <w:sz w:val="20"/>
          <w:szCs w:val="20"/>
          <w:color w:val="auto"/>
        </w:rPr>
      </w:pPr>
      <w:r>
        <w:rPr>
          <w:rFonts w:ascii="Arial" w:cs="Arial" w:eastAsia="Arial" w:hAnsi="Arial"/>
          <w:sz w:val="18"/>
          <w:szCs w:val="18"/>
          <w:color w:val="auto"/>
        </w:rPr>
        <w:t>price to public will be $</w:t>
      </w:r>
      <w:r>
        <w:rPr>
          <w:sz w:val="20"/>
          <w:szCs w:val="20"/>
          <w:color w:val="auto"/>
        </w:rPr>
        <w:tab/>
      </w:r>
      <w:r>
        <w:rPr>
          <w:rFonts w:ascii="Arial" w:cs="Arial" w:eastAsia="Arial" w:hAnsi="Arial"/>
          <w:sz w:val="17"/>
          <w:szCs w:val="17"/>
          <w:color w:val="auto"/>
        </w:rPr>
        <w:t>, and the total proceeds to us, before expenses, will be $</w:t>
      </w:r>
      <w:r>
        <w:rPr>
          <w:sz w:val="20"/>
          <w:szCs w:val="20"/>
          <w:color w:val="auto"/>
        </w:rPr>
        <w:tab/>
      </w:r>
      <w:r>
        <w:rPr>
          <w:rFonts w:ascii="Arial" w:cs="Arial" w:eastAsia="Arial" w:hAnsi="Arial"/>
          <w:sz w:val="14"/>
          <w:szCs w:val="14"/>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amount of the discounts and commissions to be paid to the underwriters by us, before expenses: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Total Without</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7"/>
              </w:rPr>
              <w:t>Total With Full</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Exercise of</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Exercise of</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4"/>
              </w:rPr>
              <w:t>Over-Allotment</w:t>
            </w:r>
          </w:p>
        </w:tc>
        <w:tc>
          <w:tcPr>
            <w:tcW w:w="152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w w:val="96"/>
              </w:rPr>
              <w:t>Over-Allotment</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4"/>
                <w:szCs w:val="14"/>
                <w:b w:val="1"/>
                <w:bCs w:val="1"/>
                <w:color w:val="auto"/>
                <w:w w:val="90"/>
              </w:rPr>
              <w:t>Unit</w:t>
            </w:r>
            <w:r>
              <w:rPr>
                <w:rFonts w:ascii="Arial" w:cs="Arial" w:eastAsia="Arial" w:hAnsi="Arial"/>
                <w:sz w:val="21"/>
                <w:szCs w:val="21"/>
                <w:b w:val="1"/>
                <w:bCs w:val="1"/>
                <w:color w:val="auto"/>
                <w:w w:val="90"/>
                <w:vertAlign w:val="superscript"/>
              </w:rPr>
              <w:t>(1)</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Option</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Public offering price</w:t>
            </w:r>
          </w:p>
        </w:tc>
        <w:tc>
          <w:tcPr>
            <w:tcW w:w="3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38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20" w:type="dxa"/>
            <w:vAlign w:val="bottom"/>
            <w:gridSpan w:val="4"/>
          </w:tcPr>
          <w:p>
            <w:pPr>
              <w:ind w:left="500"/>
              <w:spacing w:after="0"/>
              <w:rPr>
                <w:sz w:val="20"/>
                <w:szCs w:val="20"/>
                <w:color w:val="auto"/>
              </w:rPr>
            </w:pPr>
            <w:r>
              <w:rPr>
                <w:rFonts w:ascii="Arial" w:cs="Arial" w:eastAsia="Arial" w:hAnsi="Arial"/>
                <w:sz w:val="18"/>
                <w:szCs w:val="18"/>
                <w:color w:val="auto"/>
              </w:rPr>
              <w:t>Underwriting discounts and commissions</w:t>
            </w: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1380" w:type="dxa"/>
            <w:vAlign w:val="bottom"/>
            <w:gridSpan w:val="4"/>
          </w:tcPr>
          <w:p>
            <w:pPr>
              <w:ind w:left="9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Proceeds, before expenses, to us</w:t>
            </w:r>
          </w:p>
        </w:tc>
        <w:tc>
          <w:tcPr>
            <w:tcW w:w="3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38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spacing w:after="0"/>
              <w:rPr>
                <w:sz w:val="19"/>
                <w:szCs w:val="19"/>
                <w:color w:val="auto"/>
              </w:rPr>
            </w:pPr>
          </w:p>
        </w:tc>
        <w:tc>
          <w:tcPr>
            <w:tcW w:w="7200" w:type="dxa"/>
            <w:vAlign w:val="bottom"/>
            <w:gridSpan w:val="10"/>
          </w:tcPr>
          <w:p>
            <w:pPr>
              <w:spacing w:after="0"/>
              <w:rPr>
                <w:sz w:val="19"/>
                <w:szCs w:val="19"/>
                <w:color w:val="auto"/>
              </w:rPr>
            </w:pPr>
          </w:p>
        </w:tc>
        <w:tc>
          <w:tcPr>
            <w:tcW w:w="15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9900" w:type="dxa"/>
            <w:vAlign w:val="bottom"/>
            <w:gridSpan w:val="11"/>
          </w:tcPr>
          <w:p>
            <w:pPr>
              <w:spacing w:after="0"/>
              <w:rPr>
                <w:sz w:val="20"/>
                <w:szCs w:val="20"/>
                <w:color w:val="auto"/>
              </w:rPr>
            </w:pPr>
            <w:r>
              <w:rPr>
                <w:rFonts w:ascii="Arial" w:cs="Arial" w:eastAsia="Arial" w:hAnsi="Arial"/>
                <w:sz w:val="18"/>
                <w:szCs w:val="18"/>
                <w:color w:val="auto"/>
                <w:w w:val="92"/>
              </w:rPr>
              <w:t>(1)  The public offering price and underwriting discounts and commissions correspond to a public offering price per ordinary share of $</w:t>
            </w:r>
          </w:p>
        </w:tc>
        <w:tc>
          <w:tcPr>
            <w:tcW w:w="1520" w:type="dxa"/>
            <w:vAlign w:val="bottom"/>
            <w:gridSpan w:val="4"/>
          </w:tcPr>
          <w:p>
            <w:pPr>
              <w:ind w:left="360"/>
              <w:spacing w:after="0"/>
              <w:rPr>
                <w:sz w:val="20"/>
                <w:szCs w:val="20"/>
                <w:color w:val="auto"/>
              </w:rPr>
            </w:pPr>
            <w:r>
              <w:rPr>
                <w:rFonts w:ascii="Arial" w:cs="Arial" w:eastAsia="Arial" w:hAnsi="Arial"/>
                <w:sz w:val="18"/>
                <w:szCs w:val="18"/>
                <w:color w:val="auto"/>
              </w:rPr>
              <w:t>and a</w:t>
            </w:r>
          </w:p>
        </w:tc>
        <w:tc>
          <w:tcPr>
            <w:tcW w:w="0" w:type="dxa"/>
            <w:vAlign w:val="bottom"/>
          </w:tcPr>
          <w:p>
            <w:pPr>
              <w:spacing w:after="0"/>
              <w:rPr>
                <w:sz w:val="1"/>
                <w:szCs w:val="1"/>
                <w:color w:val="auto"/>
              </w:rPr>
            </w:pPr>
          </w:p>
        </w:tc>
      </w:tr>
      <w:tr>
        <w:trPr>
          <w:trHeight w:val="230"/>
        </w:trPr>
        <w:tc>
          <w:tcPr>
            <w:tcW w:w="3280" w:type="dxa"/>
            <w:vAlign w:val="bottom"/>
            <w:gridSpan w:val="2"/>
          </w:tcPr>
          <w:p>
            <w:pPr>
              <w:ind w:left="360"/>
              <w:spacing w:after="0"/>
              <w:rPr>
                <w:sz w:val="20"/>
                <w:szCs w:val="20"/>
                <w:color w:val="auto"/>
              </w:rPr>
            </w:pPr>
            <w:r>
              <w:rPr>
                <w:rFonts w:ascii="Arial" w:cs="Arial" w:eastAsia="Arial" w:hAnsi="Arial"/>
                <w:sz w:val="18"/>
                <w:szCs w:val="18"/>
                <w:color w:val="auto"/>
              </w:rPr>
              <w:t>public offering price per warrant of $</w:t>
            </w:r>
          </w:p>
        </w:tc>
        <w:tc>
          <w:tcPr>
            <w:tcW w:w="3860" w:type="dxa"/>
            <w:vAlign w:val="bottom"/>
          </w:tcPr>
          <w:p>
            <w:pPr>
              <w:jc w:val="right"/>
              <w:ind w:right="35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-1011555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-1011555</wp:posOffset>
            </wp:positionV>
            <wp:extent cx="62776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estimate that our total expenses of the offering, excluding the estimated underwriting discounts and commissions, will be approximately $1.1 million, which includes fees and expenses for which we have agreed to reimburse the underwriters, including fees and expenses incurred by underwriters’ counsel of up to $100,000 and roadshow expenses incurred by the underwriters of up to $5,000.</w:t>
      </w:r>
    </w:p>
    <w:p>
      <w:pPr>
        <w:spacing w:after="0" w:line="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have also agreed to issue to the representative 10,000 ordinary shares following the closing of this offering, as well as underwriter warrants to purchase a number of ordinary shares equal to an aggregate of 5% of the ordinary shares sold as part of the units in this offering. The underwriter warrants will have 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exercise price equal to 110% of the initial public offering price of the units in this offering and may be exercised on a cashless basis unless a registration statement covering the exercise of the underwriter warrants and sale of the underlying shares by the holder thereof is in effect and available. The underwriter warrants will be exercisable 180 days following the date on which the registration statement of which this prospectus forms a part becomes effective until the fifth anniversary of the such effective date. The underwriter warrants are not redeemable by us. The underwriter warrants also provide for unlimited “piggyback” registration rights at our expense with respect to the underlying ordinary shares during the seven-year period commencing on the closing date of the units offering and for one demand registration right at our expense and an additional demand registration right at the underwriter warrant holder’s expense during the five-year period commencing on the closing date of the units offering. The underwriter warrants will provide for adjustment of the exercise price of such warrants (and the ordinary shares underlying such warrants) for dilutive events such as a stock dividend or stock split and for recapitalizations, mergers and other fundamental transactions. The underwriter warrants and the ordinary shares issuable upon the exercise of the underwriter warrants have been deemed underwriting compensation by FINRA and are therefore subject to a 180 day lock up pursuant to FINRA Rule 5110(g)(1). Except as otherwise permitted by FINRA rules, for a period of 180 days following the effective date of the registration statement of which this prospectus forms a part, such underwriters warrants shall not be (A) sold, transferred, assigned, pledged or hypothecated or (B) the subject of any hedging, short sale, derivative, put, or call transaction that would result in the effective economic disposition of the securities by any person. We have also agreed, subject to certain conditions and exceptions, to provide Maxim Group, LLC with a right of first refusal to act, for a period of 12 months following the closing of this offering, as (i) sole lead managing underwriter and book runner in any subsequent financing equal to or less than $25 million, and (ii) joint book runner in any subsequent financing of more than $25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and our executive officers, directors and certain of our shareholders have agreed to a 180-day “lock-up” with respect to our ordinary shares and other of our securities that they beneficially own, including securities that are convertible into ordinary shares and securities that are exchangeable or exercisable ordinary shares. This means that, subject to certain exceptions, for a period of 180 days following the date of this prospectus, we and such persons may not offer, sell, pledge or otherwise dispose of these securities without the prior written consent of Maxim Group LLC.</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Rules of the Securities and Exchange Commission may limit the ability of the underwriters to bid for or purchase ordinary shares before the distribution of the ordinary shares is completed. However, the underwriters may engage in the following activities in accordance with the rules:</w:t>
      </w:r>
    </w:p>
    <w:p>
      <w:pPr>
        <w:spacing w:after="0" w:line="62" w:lineRule="exact"/>
        <w:rPr>
          <w:sz w:val="20"/>
          <w:szCs w:val="20"/>
          <w:color w:val="auto"/>
        </w:rPr>
      </w:pPr>
    </w:p>
    <w:p>
      <w:pPr>
        <w:ind w:left="720" w:right="640" w:hanging="352"/>
        <w:spacing w:after="0" w:line="277"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Stabilizing transactions — The representative may make bids or purchases for the purpose of pegging, fixing or maintaining the price of the ordinary shares, so long as stabilizing bids do not exceed a specified maximum.</w:t>
      </w:r>
    </w:p>
    <w:p>
      <w:pPr>
        <w:spacing w:after="0" w:line="48" w:lineRule="exact"/>
        <w:rPr>
          <w:rFonts w:ascii="Arial" w:cs="Arial" w:eastAsia="Arial" w:hAnsi="Arial"/>
          <w:sz w:val="18"/>
          <w:szCs w:val="18"/>
          <w:color w:val="auto"/>
        </w:rPr>
      </w:pPr>
    </w:p>
    <w:p>
      <w:pPr>
        <w:ind w:left="720" w:right="560" w:hanging="352"/>
        <w:spacing w:after="0" w:line="287" w:lineRule="auto"/>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Over-allotments and syndicate covering transactions — The underwriters may sell more ordinary shares in connection with this offering than the number of ordinary shares that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ordinary shares in this offering described above. The underwriters may close out any covered short position either by exercising its over-allotment option or by purchasing ordinary shares in the open market. To determine how they will close the covered short position, the underwriters will consider, among other things, the price of ordinary shares available for purchase in the open market, as compared to the price at which they may purchase ordinary shares through the over-allotment option. Naked short sales are short sales in excess of the over-allotment option. The underwriters must close out any naked short position by purchasing ordinary shares in the open market. A naked short position is more likely to be created if the underwriters are concerned that, in the open market after pricing, there may be downward pressure on the price of the ordinary shares that could adversely affect investors who purchase ordinary shares in this offering.</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660" w:hanging="352"/>
        <w:spacing w:after="0" w:line="264"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Penalty bids — If the representative purchases ordinary shares in the open market in a stabilizing transaction or syndicate covering transaction, it may reclaim a selling concession from the underwriters and selling group members who sold those ordinary shares as part of this offering.</w:t>
      </w:r>
    </w:p>
    <w:p>
      <w:pPr>
        <w:spacing w:after="0" w:line="19" w:lineRule="exact"/>
        <w:rPr>
          <w:rFonts w:ascii="Arial" w:cs="Arial" w:eastAsia="Arial" w:hAnsi="Arial"/>
          <w:sz w:val="18"/>
          <w:szCs w:val="18"/>
          <w:color w:val="auto"/>
        </w:rPr>
      </w:pPr>
    </w:p>
    <w:p>
      <w:pPr>
        <w:ind w:left="720" w:right="880" w:hanging="352"/>
        <w:spacing w:after="0" w:line="308" w:lineRule="auto"/>
        <w:tabs>
          <w:tab w:leader="none" w:pos="7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Passive market making — Market makers in the ordinary shares who are underwriters or prospective underwriters may make bids for or purchases of ordinary shares, subject to limitations, until the time, if ever, at which a stabilizing bid is made.</w:t>
      </w:r>
    </w:p>
    <w:p>
      <w:pPr>
        <w:spacing w:after="0" w:line="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or to stabilize the market price of our ordinary shares may have the effect of raising or maintaining the market price of our ordinary shares or preventing or mitigating a decline in the market price of our ordinary shares. As a result, the price of the ordinary shares of our common stock may be higher than the price that might otherwise exist in the open market. The imposition of a penalty bid might also have an effect on the price of the ordinary shares if it discourages resales of the ordinary shares.</w:t>
      </w:r>
    </w:p>
    <w:p>
      <w:pPr>
        <w:spacing w:after="0" w:line="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the ordinary shares or the warrants. These transactions may occur on The NASDAQ Capital Market or otherwise. If such transactions are commenced, they may be discontinued without notice at any time.</w:t>
      </w:r>
    </w:p>
    <w:p>
      <w:pPr>
        <w:spacing w:after="0" w:line="6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Certain of our existing shareholders and parties affiliated with our existing shareholders have indicated an interest in purchasing an aggregate of up to approximately $5.0 million of the units in this offering at the initial public offering price per unit. However, indications of interest are not binding agreements or commitments to purchase, and these entities may determine to purchase a greater or lesser number of units than they have indicated an interest in purchasing or to not purchase any units in this offering. In addition, we and the underwriters could determine to sell a greater or lesser number of units to any of these entities than the entities have indicated an interest in purchasing or to not sell any units to these entities.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Preliminary Prospectus</w:t>
      </w:r>
    </w:p>
    <w:p>
      <w:pPr>
        <w:spacing w:after="0" w:line="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prospectus in electronic format may be delivered to potential investors by one or more of the underwriters participating in this offering. The prospectus in electronic format will be identical to the paper version of such prospectus. Other than the prospectus in electronic format, the information on any underwriter’s website and any information contained in any other website maintained by an underwriter is not part of this prospectus or the registration statement of which this prospectus forms a part.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Non-U.S. Investors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Belgium</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securities offered hereby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underwriter has undertaken not to offer sell, resell, transfer or deliver directly or indirectly, any ordinary shares, or to take any steps relating/ancillary thereto, and not to distribute or publish this document or any other material relating to the ordinary shares or to the offering in a manner which would be construed as: (a) 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Canada</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securities described herein (the “Securities”). No securities commission or similar regulatory authority in Canada has reviewed or in any way passed upon this document or on the merits of the Securities and any representation to the contrary is an offence.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Canadian investors are advised that this document has been prepared in reliance on section 3A.3 of National Instrument 33-105 Underwriting Conflicts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Resale Restrictions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offer and sale of the securities in Canada is being made on a private placement basis only and is exempt from the requirement to prepare and file a prospectus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Representations of Purchasers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Each Canadian investor who purchases the securities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(iii) is a “permitted client” as such term is defined in section 1.1 of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04"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7"/>
          <w:szCs w:val="17"/>
          <w:i w:val="1"/>
          <w:iCs w:val="1"/>
          <w:color w:val="auto"/>
        </w:rPr>
        <w:t>Ontario Prospectus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Registration Exemptions </w:t>
      </w:r>
      <w:r>
        <w:rPr>
          <w:rFonts w:ascii="Arial" w:cs="Arial" w:eastAsia="Arial" w:hAnsi="Arial"/>
          <w:sz w:val="17"/>
          <w:szCs w:val="17"/>
          <w:color w:val="auto"/>
        </w:rPr>
        <w:t>and in Multilateral Instrument 45-107</w:t>
      </w:r>
      <w:r>
        <w:rPr>
          <w:rFonts w:ascii="Arial" w:cs="Arial" w:eastAsia="Arial" w:hAnsi="Arial"/>
          <w:sz w:val="17"/>
          <w:szCs w:val="17"/>
          <w:i w:val="1"/>
          <w:iCs w:val="1"/>
          <w:color w:val="auto"/>
        </w:rPr>
        <w:t xml:space="preserve"> Listing Representation and Statutory Rights of Action Disclosure Exemptions</w:t>
      </w:r>
      <w:r>
        <w:rPr>
          <w:rFonts w:ascii="Arial" w:cs="Arial" w:eastAsia="Arial" w:hAnsi="Arial"/>
          <w:sz w:val="17"/>
          <w:szCs w:val="17"/>
          <w:color w:val="auto"/>
        </w:rPr>
        <w:t>, as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Language of Documents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France</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Neither this prospectus nor any other offering material relating to the ordinary shares has been submitted to the clearance procedures of the Autorité des marchés financiers in France. The ordinary shares have not been offered or sold and will not be offered or sold, directly or indirectly, to the public in France. Neither this prospectus nor any other offering material relating to the ordinary shares has been or will be: (a) released, issued, distributed or caused to be released, issued or distributed to the public in France; or (b) used in connection with any offer for subscription or sale of the ordinary shares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ordinary shares may be resold only in compliance with Articles L.411-1, L.411-2, L.412-1 and L.621-8 through L.621-8-3 of the French Code monétaire et financier.</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Israel</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prospectus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securities offered hereby is directed only at, investors listed in the first addendum to the Israeli Securities Law (the “Addendum”), consisting primarily of joint investment in trust funds, provident funds, insurance companies, banks,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Italy</w:t>
      </w:r>
    </w:p>
    <w:p>
      <w:pPr>
        <w:spacing w:after="0" w:line="10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offering of the ordinary shares offered hereby in Italy has not been registered with the Commissione Nazionale per la Società e la Borsa (“CONSOB”) pursuant to Italian securities legislation and, accordingly, the ordinary shares offered hereby cannot be offered, sold or delivered in the Republic of Italy (“Italy”) nor may any copy of this prospectus or any other document relating to the ordinary shares offered hereby be distributed in Italy other than to professional investors (operatori qualificati) as defined in Article 31, second paragraph, of CONSOB Regulation No. 11522 of 1 July, 1998 as subsequently amended. Any offer, sale or delivery of the ordinary shares offered hereby or distribution of copies of this prospectus or any other document relating to the ordinary shares offered hereby in Italy must be made:</w:t>
      </w:r>
    </w:p>
    <w:p>
      <w:pPr>
        <w:spacing w:after="0" w:line="99" w:lineRule="exact"/>
        <w:rPr>
          <w:sz w:val="20"/>
          <w:szCs w:val="20"/>
          <w:color w:val="auto"/>
        </w:rPr>
      </w:pPr>
    </w:p>
    <w:p>
      <w:pPr>
        <w:ind w:left="360" w:right="920" w:hanging="352"/>
        <w:spacing w:after="0" w:line="277" w:lineRule="auto"/>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171" w:lineRule="exact"/>
        <w:rPr>
          <w:rFonts w:ascii="Arial" w:cs="Arial" w:eastAsia="Arial" w:hAnsi="Arial"/>
          <w:sz w:val="18"/>
          <w:szCs w:val="18"/>
          <w:color w:val="auto"/>
        </w:rPr>
      </w:pPr>
    </w:p>
    <w:p>
      <w:pPr>
        <w:ind w:left="360" w:right="840" w:hanging="352"/>
        <w:spacing w:after="0" w:line="277" w:lineRule="auto"/>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compliance with any other applicable laws and regulations and other possible requirements or limitations which may be imposed by Italian authorities.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Sweden</w:t>
      </w:r>
    </w:p>
    <w:p>
      <w:pPr>
        <w:spacing w:after="0" w:line="10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This prospectus has not been nor will it be registered with or approved by Finansinspektionen (the Swedish Financial Supervisory Authority). Accordingly, this prospectus may not be made available, nor may the ordinary shares offered hereunder be marketed and offered for sale in Sweden, other than under circumstances which are deemed not to require a prospectus under the Financial Instruments Trading Act (1991: 980).</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Switzerland</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ordinary shares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ordinary shares being offered pursuant to this prospectus on the SWX Swiss Exchange or on any other regulated securities market, and consequently, the information presented in this prospectus does not necessarily comply with the information standards set out in the relevant listing rules. The ordinary shares being offered pursuant to this prospectus have not been registered with the Swiss Federal Banking Commission as foreign investment funds, and the investor protection afforded to acquirers of investment fund certificates does not extend to acquirers of ordinary shares.</w:t>
      </w:r>
    </w:p>
    <w:p>
      <w:pPr>
        <w:spacing w:after="0" w:line="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ordinary shares.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United Kingdom/Germany/Norway/The Netherlands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w:t>
      </w:r>
    </w:p>
    <w:p>
      <w:pPr>
        <w:spacing w:after="0" w:line="2"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by the competent authority in such Member State and published and passported in accordance with the Prospectus Directive as implemented in name(s) of relevant Member State(s) except that an offer to the public in that Relevant Member State of any ordinary shares may be made at any time under the following exemptions under the Prospectus Directive, if they have been implemented in that Relevant Member State:</w:t>
      </w:r>
    </w:p>
    <w:p>
      <w:pPr>
        <w:spacing w:after="0" w:line="119" w:lineRule="exact"/>
        <w:rPr>
          <w:sz w:val="20"/>
          <w:szCs w:val="20"/>
          <w:color w:val="auto"/>
        </w:rPr>
      </w:pPr>
    </w:p>
    <w:p>
      <w:pPr>
        <w:ind w:left="360" w:right="340" w:hanging="352"/>
        <w:spacing w:after="0" w:line="277" w:lineRule="auto"/>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16" w:lineRule="exact"/>
        <w:rPr>
          <w:rFonts w:ascii="Arial" w:cs="Arial" w:eastAsia="Arial" w:hAnsi="Arial"/>
          <w:sz w:val="18"/>
          <w:szCs w:val="18"/>
          <w:color w:val="auto"/>
        </w:rPr>
      </w:pPr>
    </w:p>
    <w:p>
      <w:pPr>
        <w:ind w:left="360" w:right="300" w:hanging="352"/>
        <w:spacing w:after="0" w:line="308" w:lineRule="auto"/>
        <w:tabs>
          <w:tab w:leader="none" w:pos="3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92" w:lineRule="exact"/>
        <w:rPr>
          <w:rFonts w:ascii="Arial" w:cs="Arial" w:eastAsia="Arial" w:hAnsi="Arial"/>
          <w:sz w:val="17"/>
          <w:szCs w:val="17"/>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171" w:lineRule="exact"/>
        <w:rPr>
          <w:rFonts w:ascii="Arial" w:cs="Arial" w:eastAsia="Arial" w:hAnsi="Arial"/>
          <w:sz w:val="18"/>
          <w:szCs w:val="18"/>
          <w:color w:val="auto"/>
        </w:rPr>
      </w:pPr>
    </w:p>
    <w:p>
      <w:pPr>
        <w:ind w:left="360" w:right="680" w:hanging="352"/>
        <w:spacing w:after="0" w:line="308" w:lineRule="auto"/>
        <w:tabs>
          <w:tab w:leader="none" w:pos="3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ordinary shares shall result in a requirement for the publication by the company or any underwriter of a prospectus pursuant to Article 3 of the Prospectus Directive.</w:t>
      </w:r>
    </w:p>
    <w:p>
      <w:pPr>
        <w:spacing w:after="0" w:line="3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For the purposes of this provision, the expression an “offer to the public” in relation to any ordinary shares in any Relevant Member State means the communication in any form and by any means of sufficient information on the terms of the offer and any ordinary shares to be offered so as to enable an investor to</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decide to purchase any ordinary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71" w:lineRule="exact"/>
        <w:rPr>
          <w:sz w:val="20"/>
          <w:szCs w:val="20"/>
          <w:color w:val="auto"/>
        </w:rPr>
      </w:pPr>
    </w:p>
    <w:p>
      <w:pPr>
        <w:ind w:left="360" w:right="140" w:hanging="352"/>
        <w:spacing w:after="0" w:line="312" w:lineRule="auto"/>
        <w:tabs>
          <w:tab w:leader="none" w:pos="3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ordinary shares in circumstances in which section 21(1) of the FSMA does not apply to the company; and</w:t>
      </w:r>
    </w:p>
    <w:p>
      <w:pPr>
        <w:spacing w:after="0" w:line="92" w:lineRule="exact"/>
        <w:rPr>
          <w:rFonts w:ascii="Arial" w:cs="Arial" w:eastAsia="Arial" w:hAnsi="Arial"/>
          <w:sz w:val="16"/>
          <w:szCs w:val="16"/>
          <w:color w:val="auto"/>
        </w:rPr>
      </w:pPr>
    </w:p>
    <w:p>
      <w:pPr>
        <w:ind w:left="360" w:right="420" w:hanging="352"/>
        <w:spacing w:after="0" w:line="277" w:lineRule="auto"/>
        <w:tabs>
          <w:tab w:leader="none" w:pos="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ordinary shares in, from or otherwise involving the United Kingdom.</w:t>
      </w: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THE OFFERING</w:t>
      </w:r>
    </w:p>
    <w:p>
      <w:pPr>
        <w:spacing w:after="0" w:line="10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following table sets forth the costs and expenses, other than underwriting discounts and underwriting expenses, payable by us in connection with this offering. With the exception of the SEC registration fee, the listing fee and the FINRA filing fee, all amounts are estimates.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 registration fee</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10,062</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NASDAQ Capital Market listing fee</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50,000</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FINRA filing fee</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12,622</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Printing expenses</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100,000</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Legal fees and expenses</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450,000</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Accounting fees and expenses</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300,000</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Transfer agent’s fees</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33,000</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Miscellaneous</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144,316</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1,000,000</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Herzog Fox &amp; Neeman, Tel Aviv, Israel. Certain legal matters in connection with this offering relating to U.S. law will be passed upon for us by Davis Polk &amp; Wardwell LLP, New York, New York. Certain legal matters in connection with this offering will be passed upon for the underwriters by Gornitzky &amp; Co., Tel Aviv, Israel, with respect to Israeli law, and by Mintz, Levin, Cohn, Ferris, Glovsky and Popeo, P.C., New York, New York, with respect to U.S.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financial statements as of December 31, 2017 and 2016 and for each of the two years in the period ended December 31, 2017 included in this prospectus have been so included in reliance on the report (which contains an explanatory paragraph relating to the Company’s ability to continue as a going concern as described in Note 1a.2 to the financial statements) of Kesselman &amp; Kesselman, Certified Public Accountants (Israel), a member firm of PricewaterhouseCoopers International Limited, an independent registered public accounting firm, given on the authority of said firm as experts in auditing and accounting. The current address of Kesselman &amp; Kesselman, Certified Public Accountants (Israel) is 25 Hamered Street, Tel Aviv, Israel 6812508.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our directors and officers and the Israeli experts, if any, named in this prospectus, many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w:t>
      </w:r>
    </w:p>
    <w:p>
      <w:pPr>
        <w:spacing w:after="0" w:line="6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been informed by our legal counsel in Israel that it may also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which can be a time-consuming and costly process. Certain matters of procedure will also be governed by Israeli law.</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U.S. judgment in a civil matter which, subject to certain exceptions, is non-appealable, including a judgment based upon the civil liability provisions of the U.S. securities laws, as well as a monetary or compensatory judgment in a non-civil matter, provided that, among other things, the following conditions are met:</w:t>
      </w:r>
    </w:p>
    <w:p>
      <w:pPr>
        <w:spacing w:after="0" w:line="160" w:lineRule="exact"/>
        <w:rPr>
          <w:sz w:val="20"/>
          <w:szCs w:val="20"/>
          <w:color w:val="auto"/>
        </w:rPr>
      </w:pPr>
    </w:p>
    <w:p>
      <w:pPr>
        <w:ind w:left="720" w:hanging="352"/>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judgment is enforceable under the laws of State of Israel and under the laws of the state in which it was given;</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judgment was rendered by a court of competent jurisdiction under the rules of private international law prevailing in Israel;</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laws of the state in which the judgment was given provides for the enforcement of judgments of Israeli courts;</w:t>
      </w:r>
    </w:p>
    <w:p>
      <w:pPr>
        <w:spacing w:after="0" w:line="198" w:lineRule="exact"/>
        <w:rPr>
          <w:rFonts w:ascii="Arial" w:cs="Arial" w:eastAsia="Arial" w:hAnsi="Arial"/>
          <w:sz w:val="18"/>
          <w:szCs w:val="18"/>
          <w:color w:val="auto"/>
        </w:rPr>
      </w:pPr>
    </w:p>
    <w:p>
      <w:pPr>
        <w:ind w:left="720" w:right="1220" w:hanging="352"/>
        <w:spacing w:after="0" w:line="277"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present his or her evidence;</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judgment and the enforcement of the judgment are not contrary to the law, public policy, security or sovereignty of the State of Israel;</w:t>
      </w:r>
    </w:p>
    <w:p>
      <w:pPr>
        <w:spacing w:after="0" w:line="196" w:lineRule="exact"/>
        <w:rPr>
          <w:rFonts w:ascii="Arial" w:cs="Arial" w:eastAsia="Arial" w:hAnsi="Arial"/>
          <w:sz w:val="17"/>
          <w:szCs w:val="17"/>
          <w:color w:val="auto"/>
        </w:rPr>
      </w:pPr>
    </w:p>
    <w:p>
      <w:pPr>
        <w:ind w:left="720" w:right="900" w:hanging="352"/>
        <w:spacing w:after="0" w:line="277"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judgment was not obtained by fraudulent means and does not conflict with any other valid judgment in the same matter between the same parties; and</w:t>
      </w:r>
    </w:p>
    <w:p>
      <w:pPr>
        <w:spacing w:after="0" w:line="129" w:lineRule="exact"/>
        <w:rPr>
          <w:rFonts w:ascii="Arial" w:cs="Arial" w:eastAsia="Arial" w:hAnsi="Arial"/>
          <w:sz w:val="18"/>
          <w:szCs w:val="18"/>
          <w:color w:val="auto"/>
        </w:rPr>
      </w:pPr>
    </w:p>
    <w:p>
      <w:pPr>
        <w:ind w:left="720" w:right="800" w:hanging="352"/>
        <w:spacing w:after="0" w:line="277" w:lineRule="auto"/>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 fluctuations.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units.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5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 Those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U.S. companies whose securities are registered under the Exchange Act. However, we intend to file with the SEC, within four months after the end of each fiscal year, or such applicable time as required by the SEC, an annual report on Form 20-F containing financial statements audited by an independent registered public accounting firm, and to submit to the SEC, on Form 6-K, unaudited quarterly financial information for the first three quarters of each fiscal year.</w:t>
      </w:r>
    </w:p>
    <w:p>
      <w:pPr>
        <w:spacing w:after="0" w:line="5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maintain a corporate website at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7"/>
          </w:tcPr>
          <w:p>
            <w:pPr>
              <w:ind w:left="140"/>
              <w:spacing w:after="0"/>
              <w:rPr>
                <w:sz w:val="20"/>
                <w:szCs w:val="20"/>
                <w:color w:val="auto"/>
              </w:rPr>
            </w:pPr>
            <w:r>
              <w:rPr>
                <w:rFonts w:ascii="Arial" w:cs="Arial" w:eastAsia="Arial" w:hAnsi="Arial"/>
                <w:sz w:val="14"/>
                <w:szCs w:val="14"/>
                <w:b w:val="1"/>
                <w:bCs w:val="1"/>
                <w:color w:val="auto"/>
              </w:rPr>
              <w:t>Page</w:t>
            </w:r>
          </w:p>
        </w:tc>
      </w:tr>
      <w:tr>
        <w:trPr>
          <w:trHeight w:val="26"/>
        </w:trPr>
        <w:tc>
          <w:tcPr>
            <w:tcW w:w="18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49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w:t>
            </w:r>
          </w:p>
        </w:tc>
        <w:tc>
          <w:tcPr>
            <w:tcW w:w="5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16"/>
        </w:trPr>
        <w:tc>
          <w:tcPr>
            <w:tcW w:w="4900" w:type="dxa"/>
            <w:vAlign w:val="bottom"/>
            <w:gridSpan w:val="7"/>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Report of Independent Registered Public Accounting Firm</w:t>
              </w:r>
            </w:hyperlink>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4"/>
          </w:tcPr>
          <w:p>
            <w:pPr>
              <w:jc w:val="right"/>
              <w:ind w:right="40"/>
              <w:spacing w:after="0"/>
              <w:rPr>
                <w:rFonts w:ascii="Arial" w:cs="Arial" w:eastAsia="Arial" w:hAnsi="Arial"/>
                <w:sz w:val="18"/>
                <w:szCs w:val="18"/>
                <w:color w:val="0000EE"/>
                <w:w w:val="88"/>
              </w:rPr>
            </w:pPr>
            <w:hyperlink w:anchor="page181">
              <w:r>
                <w:rPr>
                  <w:rFonts w:ascii="Arial" w:cs="Arial" w:eastAsia="Arial" w:hAnsi="Arial"/>
                  <w:sz w:val="18"/>
                  <w:szCs w:val="18"/>
                  <w:color w:val="0000EE"/>
                  <w:w w:val="88"/>
                </w:rPr>
                <w:t>F-2</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3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82">
              <w:r>
                <w:rPr>
                  <w:rFonts w:ascii="Arial" w:cs="Arial" w:eastAsia="Arial" w:hAnsi="Arial"/>
                  <w:sz w:val="18"/>
                  <w:szCs w:val="18"/>
                  <w:color w:val="0000EE"/>
                  <w:w w:val="91"/>
                </w:rPr>
                <w:t>Statements of financial position</w:t>
              </w:r>
            </w:hyperlink>
          </w:p>
        </w:tc>
        <w:tc>
          <w:tcPr>
            <w:tcW w:w="2600" w:type="dxa"/>
            <w:vAlign w:val="bottom"/>
            <w:tcBorders>
              <w:bottom w:val="single" w:sz="8" w:color="CCEEFF"/>
            </w:tcBorders>
            <w:gridSpan w:val="5"/>
            <w:shd w:val="clear" w:color="auto" w:fill="CCEEFF"/>
          </w:tcPr>
          <w:p>
            <w:pPr>
              <w:spacing w:after="0"/>
              <w:rPr>
                <w:sz w:val="20"/>
                <w:szCs w:val="20"/>
                <w:color w:val="auto"/>
              </w:rPr>
            </w:pPr>
          </w:p>
        </w:tc>
        <w:tc>
          <w:tcPr>
            <w:tcW w:w="5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8"/>
              </w:rPr>
            </w:pPr>
            <w:hyperlink w:anchor="page182">
              <w:r>
                <w:rPr>
                  <w:rFonts w:ascii="Arial" w:cs="Arial" w:eastAsia="Arial" w:hAnsi="Arial"/>
                  <w:sz w:val="18"/>
                  <w:szCs w:val="18"/>
                  <w:color w:val="0000EE"/>
                  <w:w w:val="88"/>
                </w:rPr>
                <w:t>F-3</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16"/>
        </w:trPr>
        <w:tc>
          <w:tcPr>
            <w:tcW w:w="4900" w:type="dxa"/>
            <w:vAlign w:val="bottom"/>
            <w:gridSpan w:val="7"/>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Statements of comprehensive loss</w:t>
              </w:r>
            </w:hyperlink>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4"/>
          </w:tcPr>
          <w:p>
            <w:pPr>
              <w:jc w:val="right"/>
              <w:ind w:right="40"/>
              <w:spacing w:after="0"/>
              <w:rPr>
                <w:rFonts w:ascii="Arial" w:cs="Arial" w:eastAsia="Arial" w:hAnsi="Arial"/>
                <w:sz w:val="18"/>
                <w:szCs w:val="18"/>
                <w:color w:val="0000EE"/>
                <w:w w:val="88"/>
              </w:rPr>
            </w:pPr>
            <w:hyperlink w:anchor="page183">
              <w:r>
                <w:rPr>
                  <w:rFonts w:ascii="Arial" w:cs="Arial" w:eastAsia="Arial" w:hAnsi="Arial"/>
                  <w:sz w:val="18"/>
                  <w:szCs w:val="18"/>
                  <w:color w:val="0000EE"/>
                  <w:w w:val="88"/>
                </w:rPr>
                <w:t>F-4</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4900" w:type="dxa"/>
            <w:vAlign w:val="bottom"/>
            <w:gridSpan w:val="7"/>
            <w:shd w:val="clear" w:color="auto" w:fill="CCEEFF"/>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Statements of changes in capital deficiency</w:t>
              </w:r>
            </w:hyperlink>
          </w:p>
        </w:tc>
        <w:tc>
          <w:tcPr>
            <w:tcW w:w="5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40"/>
              <w:spacing w:after="0"/>
              <w:rPr>
                <w:rFonts w:ascii="Arial" w:cs="Arial" w:eastAsia="Arial" w:hAnsi="Arial"/>
                <w:sz w:val="18"/>
                <w:szCs w:val="18"/>
                <w:color w:val="0000EE"/>
                <w:w w:val="88"/>
              </w:rPr>
            </w:pPr>
            <w:hyperlink w:anchor="page184">
              <w:r>
                <w:rPr>
                  <w:rFonts w:ascii="Arial" w:cs="Arial" w:eastAsia="Arial" w:hAnsi="Arial"/>
                  <w:sz w:val="18"/>
                  <w:szCs w:val="18"/>
                  <w:color w:val="0000EE"/>
                  <w:w w:val="88"/>
                </w:rPr>
                <w:t>F-5</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20" w:type="dxa"/>
            <w:vAlign w:val="bottom"/>
            <w:gridSpan w:val="5"/>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Statements of cash flows</w:t>
              </w:r>
            </w:hyperlink>
          </w:p>
        </w:tc>
        <w:tc>
          <w:tcPr>
            <w:tcW w:w="1780" w:type="dxa"/>
            <w:vAlign w:val="bottom"/>
            <w:gridSpan w:val="2"/>
          </w:tcPr>
          <w:p>
            <w:pPr>
              <w:spacing w:after="0"/>
              <w:rPr>
                <w:sz w:val="18"/>
                <w:szCs w:val="18"/>
                <w:color w:val="auto"/>
              </w:rPr>
            </w:pPr>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8"/>
          </w:tcPr>
          <w:p>
            <w:pPr>
              <w:jc w:val="right"/>
              <w:ind w:right="40"/>
              <w:spacing w:after="0"/>
              <w:rPr>
                <w:rFonts w:ascii="Arial" w:cs="Arial" w:eastAsia="Arial" w:hAnsi="Arial"/>
                <w:sz w:val="18"/>
                <w:szCs w:val="18"/>
                <w:color w:val="0000EE"/>
                <w:w w:val="99"/>
              </w:rPr>
            </w:pPr>
            <w:hyperlink w:anchor="page185">
              <w:r>
                <w:rPr>
                  <w:rFonts w:ascii="Arial" w:cs="Arial" w:eastAsia="Arial" w:hAnsi="Arial"/>
                  <w:sz w:val="18"/>
                  <w:szCs w:val="18"/>
                  <w:color w:val="0000EE"/>
                  <w:w w:val="99"/>
                </w:rPr>
                <w:t xml:space="preserve">F-6 </w:t>
              </w:r>
            </w:hyperlink>
            <w:r>
              <w:rPr>
                <w:rFonts w:ascii="Arial" w:cs="Arial" w:eastAsia="Arial" w:hAnsi="Arial"/>
                <w:sz w:val="18"/>
                <w:szCs w:val="18"/>
                <w:color w:val="000000"/>
                <w:w w:val="99"/>
              </w:rPr>
              <w:t>–</w:t>
            </w:r>
            <w:r>
              <w:rPr>
                <w:rFonts w:ascii="Arial" w:cs="Arial" w:eastAsia="Arial" w:hAnsi="Arial"/>
                <w:sz w:val="18"/>
                <w:szCs w:val="18"/>
                <w:color w:val="0000EE"/>
                <w:w w:val="99"/>
              </w:rPr>
              <w:t xml:space="preserve"> </w:t>
            </w:r>
            <w:r>
              <w:rPr>
                <w:rFonts w:ascii="Arial" w:cs="Arial" w:eastAsia="Arial" w:hAnsi="Arial"/>
                <w:sz w:val="18"/>
                <w:szCs w:val="18"/>
                <w:color w:val="000000"/>
                <w:w w:val="99"/>
              </w:rPr>
              <w:t>F-</w:t>
            </w:r>
            <w:hyperlink w:anchor="page186">
              <w:r>
                <w:rPr>
                  <w:rFonts w:ascii="Arial" w:cs="Arial" w:eastAsia="Arial" w:hAnsi="Arial"/>
                  <w:sz w:val="18"/>
                  <w:szCs w:val="18"/>
                  <w:color w:val="0000EE"/>
                  <w:w w:val="99"/>
                </w:rPr>
                <w:t>7</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360" w:type="dxa"/>
            <w:vAlign w:val="bottom"/>
            <w:gridSpan w:val="3"/>
            <w:shd w:val="clear" w:color="auto" w:fill="CCEEFF"/>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Notes to the financial statements</w:t>
              </w:r>
            </w:hyperlink>
          </w:p>
        </w:tc>
        <w:tc>
          <w:tcPr>
            <w:tcW w:w="2540" w:type="dxa"/>
            <w:vAlign w:val="bottom"/>
            <w:gridSpan w:val="4"/>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gridSpan w:val="8"/>
            <w:shd w:val="clear" w:color="auto" w:fill="CCEEFF"/>
          </w:tcPr>
          <w:p>
            <w:pPr>
              <w:jc w:val="right"/>
              <w:ind w:right="40"/>
              <w:spacing w:after="0"/>
              <w:rPr>
                <w:rFonts w:ascii="Arial" w:cs="Arial" w:eastAsia="Arial" w:hAnsi="Arial"/>
                <w:sz w:val="18"/>
                <w:szCs w:val="18"/>
                <w:color w:val="0000EE"/>
                <w:w w:val="88"/>
              </w:rPr>
            </w:pPr>
            <w:hyperlink w:anchor="page187">
              <w:r>
                <w:rPr>
                  <w:rFonts w:ascii="Arial" w:cs="Arial" w:eastAsia="Arial" w:hAnsi="Arial"/>
                  <w:sz w:val="18"/>
                  <w:szCs w:val="18"/>
                  <w:color w:val="0000EE"/>
                  <w:w w:val="88"/>
                </w:rPr>
                <w:t xml:space="preserve">F-8 </w:t>
              </w:r>
            </w:hyperlink>
            <w:r>
              <w:rPr>
                <w:rFonts w:ascii="Arial" w:cs="Arial" w:eastAsia="Arial" w:hAnsi="Arial"/>
                <w:sz w:val="18"/>
                <w:szCs w:val="18"/>
                <w:color w:val="000000"/>
                <w:w w:val="88"/>
              </w:rPr>
              <w:t>–</w:t>
            </w:r>
            <w:r>
              <w:rPr>
                <w:rFonts w:ascii="Arial" w:cs="Arial" w:eastAsia="Arial" w:hAnsi="Arial"/>
                <w:sz w:val="18"/>
                <w:szCs w:val="18"/>
                <w:color w:val="0000EE"/>
                <w:w w:val="88"/>
              </w:rPr>
              <w:t xml:space="preserve"> </w:t>
            </w:r>
            <w:r>
              <w:rPr>
                <w:rFonts w:ascii="Arial" w:cs="Arial" w:eastAsia="Arial" w:hAnsi="Arial"/>
                <w:sz w:val="18"/>
                <w:szCs w:val="18"/>
                <w:color w:val="000000"/>
                <w:w w:val="88"/>
              </w:rPr>
              <w:t>F-</w:t>
            </w:r>
            <w:hyperlink w:anchor="page209">
              <w:r>
                <w:rPr>
                  <w:rFonts w:ascii="Arial" w:cs="Arial" w:eastAsia="Arial" w:hAnsi="Arial"/>
                  <w:sz w:val="18"/>
                  <w:szCs w:val="18"/>
                  <w:color w:val="0000EE"/>
                  <w:w w:val="88"/>
                </w:rPr>
                <w:t>30</w:t>
              </w:r>
            </w:hyperlink>
          </w:p>
        </w:tc>
      </w:tr>
      <w:tr>
        <w:trPr>
          <w:trHeight w:val="486"/>
        </w:trPr>
        <w:tc>
          <w:tcPr>
            <w:tcW w:w="18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5720" w:type="dxa"/>
            <w:vAlign w:val="bottom"/>
            <w:tcBorders>
              <w:top w:val="single" w:sz="8" w:color="CCEEFF"/>
            </w:tcBorders>
            <w:gridSpan w:val="2"/>
          </w:tcPr>
          <w:p>
            <w:pPr>
              <w:ind w:left="680"/>
              <w:spacing w:after="0"/>
              <w:rPr>
                <w:sz w:val="20"/>
                <w:szCs w:val="20"/>
                <w:color w:val="auto"/>
              </w:rPr>
            </w:pPr>
            <w:r>
              <w:rPr>
                <w:rFonts w:ascii="Arial" w:cs="Arial" w:eastAsia="Arial" w:hAnsi="Arial"/>
                <w:sz w:val="18"/>
                <w:szCs w:val="18"/>
                <w:color w:val="auto"/>
              </w:rPr>
              <w:t>F-1</w:t>
            </w:r>
          </w:p>
        </w:tc>
        <w:tc>
          <w:tcPr>
            <w:tcW w:w="260" w:type="dxa"/>
            <w:vAlign w:val="bottom"/>
            <w:tcBorders>
              <w:top w:val="single" w:sz="8" w:color="0000EE"/>
            </w:tcBorders>
            <w:gridSpan w:val="2"/>
          </w:tcPr>
          <w:p>
            <w:pPr>
              <w:spacing w:after="0"/>
              <w:rPr>
                <w:sz w:val="24"/>
                <w:szCs w:val="24"/>
                <w:color w:val="auto"/>
              </w:rPr>
            </w:pPr>
          </w:p>
        </w:tc>
        <w:tc>
          <w:tcPr>
            <w:tcW w:w="320" w:type="dxa"/>
            <w:vAlign w:val="bottom"/>
            <w:tcBorders>
              <w:top w:val="single" w:sz="8" w:color="CCEEFF"/>
            </w:tcBorders>
            <w:gridSpan w:val="3"/>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385"/>
        </w:trPr>
        <w:tc>
          <w:tcPr>
            <w:tcW w:w="1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-1714500</wp:posOffset>
            </wp:positionV>
            <wp:extent cx="67151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1" w:name="page182"/>
    <w:bookmarkEnd w:id="18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548640" cy="420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86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audited the accompanying statements of financial position of Entera Bio Ltd. as of December 31, 2017 and 2016, and the related statements of comprehensive loss, changes in capital deficiency and cash flows for each of the two years in the period ended December 31, 2017, including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International Financial Reporting Standards as issued by the International Accounting Standards Board.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Explanatory Paragraph — Going Concern</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As discussed in Note 1a.2 to the financial statements, the Company has suffered recurring losses from operations and has cash outflows from operating activities that raise substantial doubt about its ability to continue as a going concern. Management’s plans in regard to these matters are also described in Note 1a.2. The financial statements do not include any adjustments that might result from the outcome of this uncertainty.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and Board of Directors.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xml:space="preserve">/ </w:t>
      </w:r>
      <w:r>
        <w:rPr>
          <w:rFonts w:ascii="Arial" w:cs="Arial" w:eastAsia="Arial" w:hAnsi="Arial"/>
          <w:sz w:val="18"/>
          <w:szCs w:val="18"/>
          <w:b w:val="1"/>
          <w:bCs w:val="1"/>
          <w:color w:val="auto"/>
        </w:rPr>
        <w:t>Kesselman &amp; Kesselman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member of PricewaterhouseCoopers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Kesselman &amp; Kesselman, Trade Tower, 25 Hamered Street, Tel-Aviv 6812508, Israel,</w:t>
      </w:r>
    </w:p>
    <w:p>
      <w:pPr>
        <w:ind w:left="360"/>
        <w:spacing w:after="0"/>
        <w:rPr>
          <w:sz w:val="20"/>
          <w:szCs w:val="20"/>
          <w:color w:val="auto"/>
        </w:rPr>
      </w:pPr>
      <w:r>
        <w:rPr>
          <w:rFonts w:ascii="Arial" w:cs="Arial" w:eastAsia="Arial" w:hAnsi="Arial"/>
          <w:sz w:val="18"/>
          <w:szCs w:val="18"/>
          <w:i w:val="1"/>
          <w:iCs w:val="1"/>
          <w:color w:val="auto"/>
        </w:rPr>
        <w:t>P.O Box 50005 Tel-Aviv 6150001 Telephone: +972 -3- 7954555, Fax:+972 -3- 7954556, www.pwc.com/il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2" w:name="page183"/>
    <w:bookmarkEnd w:id="18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FINANCIAL POSITION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Note</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300"/>
              <w:spacing w:after="0" w:line="155" w:lineRule="exact"/>
              <w:rPr>
                <w:sz w:val="20"/>
                <w:szCs w:val="20"/>
                <w:color w:val="auto"/>
              </w:rPr>
            </w:pPr>
            <w:r>
              <w:rPr>
                <w:rFonts w:ascii="Arial" w:cs="Arial" w:eastAsia="Arial" w:hAnsi="Arial"/>
                <w:sz w:val="14"/>
                <w:szCs w:val="14"/>
                <w:b w:val="1"/>
                <w:bCs w:val="1"/>
                <w:color w:val="auto"/>
              </w:rPr>
              <w:t>U.S. dollars 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center"/>
              <w:ind w:left="230"/>
              <w:spacing w:after="0" w:line="202" w:lineRule="exact"/>
              <w:rPr>
                <w:sz w:val="20"/>
                <w:szCs w:val="20"/>
                <w:color w:val="auto"/>
              </w:rPr>
            </w:pPr>
            <w:r>
              <w:rPr>
                <w:rFonts w:ascii="Arial" w:cs="Arial" w:eastAsia="Arial" w:hAnsi="Arial"/>
                <w:sz w:val="18"/>
                <w:szCs w:val="18"/>
                <w:b w:val="1"/>
                <w:bCs w:val="1"/>
                <w:color w:val="auto"/>
                <w:w w:val="81"/>
              </w:rPr>
              <w:t>Assets</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79"/>
              </w:rPr>
              <w:t>5</w:t>
            </w:r>
          </w:p>
        </w:tc>
        <w:tc>
          <w:tcPr>
            <w:tcW w:w="2000" w:type="dxa"/>
            <w:vAlign w:val="bottom"/>
            <w:gridSpan w:val="4"/>
            <w:shd w:val="clear" w:color="auto" w:fill="CCEEFF"/>
          </w:tcPr>
          <w:p>
            <w:pPr>
              <w:jc w:val="right"/>
              <w:ind w:right="839"/>
              <w:spacing w:after="0" w:line="202" w:lineRule="exact"/>
              <w:rPr>
                <w:sz w:val="20"/>
                <w:szCs w:val="20"/>
                <w:color w:val="auto"/>
              </w:rPr>
            </w:pPr>
            <w:r>
              <w:rPr>
                <w:rFonts w:ascii="Arial" w:cs="Arial" w:eastAsia="Arial" w:hAnsi="Arial"/>
                <w:sz w:val="18"/>
                <w:szCs w:val="18"/>
                <w:color w:val="auto"/>
              </w:rPr>
              <w:t>11,746</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4,163</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Restricted deposits</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86"/>
              </w:rPr>
              <w:t>7a2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83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12a</w:t>
            </w:r>
          </w:p>
        </w:tc>
        <w:tc>
          <w:tcPr>
            <w:tcW w:w="2000" w:type="dxa"/>
            <w:vAlign w:val="bottom"/>
            <w:gridSpan w:val="4"/>
            <w:shd w:val="clear" w:color="auto" w:fill="CCEEFF"/>
          </w:tcPr>
          <w:p>
            <w:pPr>
              <w:jc w:val="right"/>
              <w:ind w:right="839"/>
              <w:spacing w:after="0"/>
              <w:rPr>
                <w:sz w:val="20"/>
                <w:szCs w:val="20"/>
                <w:color w:val="auto"/>
              </w:rPr>
            </w:pPr>
            <w:r>
              <w:rPr>
                <w:rFonts w:ascii="Arial" w:cs="Arial" w:eastAsia="Arial" w:hAnsi="Arial"/>
                <w:sz w:val="18"/>
                <w:szCs w:val="18"/>
                <w:color w:val="auto"/>
              </w:rPr>
              <w:t>671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CURRENT ASSETS</w:t>
            </w:r>
          </w:p>
        </w:tc>
        <w:tc>
          <w:tcPr>
            <w:tcW w:w="28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12,417</w:t>
            </w:r>
          </w:p>
        </w:tc>
        <w:tc>
          <w:tcPr>
            <w:tcW w:w="9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5,433</w:t>
            </w:r>
          </w:p>
        </w:tc>
        <w:tc>
          <w:tcPr>
            <w:tcW w:w="3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Property and equipment</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gridSpan w:val="4"/>
          </w:tcPr>
          <w:p>
            <w:pPr>
              <w:jc w:val="right"/>
              <w:ind w:right="839"/>
              <w:spacing w:after="0" w:line="202" w:lineRule="exact"/>
              <w:rPr>
                <w:sz w:val="20"/>
                <w:szCs w:val="20"/>
                <w:color w:val="auto"/>
              </w:rPr>
            </w:pPr>
            <w:r>
              <w:rPr>
                <w:rFonts w:ascii="Arial" w:cs="Arial" w:eastAsia="Arial" w:hAnsi="Arial"/>
                <w:sz w:val="18"/>
                <w:szCs w:val="18"/>
                <w:color w:val="auto"/>
              </w:rPr>
              <w:t>207</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79"/>
              </w:rPr>
              <w:t>6</w:t>
            </w:r>
          </w:p>
        </w:tc>
        <w:tc>
          <w:tcPr>
            <w:tcW w:w="2000" w:type="dxa"/>
            <w:vAlign w:val="bottom"/>
            <w:gridSpan w:val="4"/>
            <w:shd w:val="clear" w:color="auto" w:fill="CCEEFF"/>
          </w:tcPr>
          <w:p>
            <w:pPr>
              <w:jc w:val="right"/>
              <w:ind w:right="839"/>
              <w:spacing w:after="0"/>
              <w:rPr>
                <w:sz w:val="20"/>
                <w:szCs w:val="20"/>
                <w:color w:val="auto"/>
              </w:rPr>
            </w:pPr>
            <w:r>
              <w:rPr>
                <w:rFonts w:ascii="Arial" w:cs="Arial" w:eastAsia="Arial" w:hAnsi="Arial"/>
                <w:sz w:val="18"/>
                <w:szCs w:val="18"/>
                <w:color w:val="auto"/>
              </w:rPr>
              <w:t>654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NON-CURRENT ASSETS</w:t>
            </w:r>
          </w:p>
        </w:tc>
        <w:tc>
          <w:tcPr>
            <w:tcW w:w="28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9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3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13,278</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90"/>
              </w:rPr>
              <w:t>Liabilities net of capital deficiency</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640" w:type="dxa"/>
            <w:vAlign w:val="bottom"/>
            <w:gridSpan w:val="6"/>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shd w:val="clear" w:color="auto" w:fill="CCEEFF"/>
          </w:tcPr>
          <w:p>
            <w:pPr>
              <w:ind w:left="340"/>
              <w:spacing w:after="0" w:line="202" w:lineRule="exact"/>
              <w:rPr>
                <w:sz w:val="20"/>
                <w:szCs w:val="20"/>
                <w:color w:val="auto"/>
              </w:rPr>
            </w:pPr>
            <w:r>
              <w:rPr>
                <w:rFonts w:ascii="Arial" w:cs="Arial" w:eastAsia="Arial" w:hAnsi="Arial"/>
                <w:sz w:val="18"/>
                <w:szCs w:val="18"/>
                <w:color w:val="auto"/>
              </w:rPr>
              <w:t>Trade</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jc w:val="right"/>
              <w:ind w:right="839"/>
              <w:spacing w:after="0" w:line="202" w:lineRule="exact"/>
              <w:rPr>
                <w:sz w:val="20"/>
                <w:szCs w:val="20"/>
                <w:color w:val="auto"/>
              </w:rPr>
            </w:pPr>
            <w:r>
              <w:rPr>
                <w:rFonts w:ascii="Arial" w:cs="Arial" w:eastAsia="Arial" w:hAnsi="Arial"/>
                <w:sz w:val="18"/>
                <w:szCs w:val="18"/>
                <w:color w:val="auto"/>
              </w:rPr>
              <w:t>596</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Other</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3"/>
              </w:rPr>
              <w:t>12b</w:t>
            </w:r>
          </w:p>
        </w:tc>
        <w:tc>
          <w:tcPr>
            <w:tcW w:w="2000" w:type="dxa"/>
            <w:vAlign w:val="bottom"/>
            <w:gridSpan w:val="4"/>
          </w:tcPr>
          <w:p>
            <w:pPr>
              <w:jc w:val="right"/>
              <w:ind w:right="839"/>
              <w:spacing w:after="0" w:line="202" w:lineRule="exact"/>
              <w:rPr>
                <w:sz w:val="20"/>
                <w:szCs w:val="20"/>
                <w:color w:val="auto"/>
              </w:rPr>
            </w:pPr>
            <w:r>
              <w:rPr>
                <w:rFonts w:ascii="Arial" w:cs="Arial" w:eastAsia="Arial" w:hAnsi="Arial"/>
                <w:sz w:val="18"/>
                <w:szCs w:val="18"/>
                <w:color w:val="auto"/>
              </w:rPr>
              <w:t>1,424</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Convertible loans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CURRENT LIABILITIES</w:t>
            </w:r>
          </w:p>
        </w:tc>
        <w:tc>
          <w:tcPr>
            <w:tcW w:w="28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9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10,542</w:t>
            </w:r>
          </w:p>
        </w:tc>
        <w:tc>
          <w:tcPr>
            <w:tcW w:w="3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Convertible loan</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79"/>
              </w:rPr>
              <w:t>7</w:t>
            </w:r>
          </w:p>
        </w:tc>
        <w:tc>
          <w:tcPr>
            <w:tcW w:w="2000" w:type="dxa"/>
            <w:vAlign w:val="bottom"/>
            <w:gridSpan w:val="4"/>
          </w:tcPr>
          <w:p>
            <w:pPr>
              <w:jc w:val="right"/>
              <w:ind w:right="839"/>
              <w:spacing w:after="0" w:line="202" w:lineRule="exact"/>
              <w:rPr>
                <w:sz w:val="20"/>
                <w:szCs w:val="20"/>
                <w:color w:val="auto"/>
              </w:rPr>
            </w:pPr>
            <w:r>
              <w:rPr>
                <w:rFonts w:ascii="Arial" w:cs="Arial" w:eastAsia="Arial" w:hAnsi="Arial"/>
                <w:sz w:val="18"/>
                <w:szCs w:val="18"/>
                <w:color w:val="auto"/>
              </w:rPr>
              <w:t>3,893</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4,835</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Preferred shares</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79"/>
              </w:rPr>
              <w:t>8</w:t>
            </w:r>
          </w:p>
        </w:tc>
        <w:tc>
          <w:tcPr>
            <w:tcW w:w="2000" w:type="dxa"/>
            <w:vAlign w:val="bottom"/>
            <w:gridSpan w:val="4"/>
            <w:shd w:val="clear" w:color="auto" w:fill="CCEEFF"/>
          </w:tcPr>
          <w:p>
            <w:pPr>
              <w:jc w:val="right"/>
              <w:ind w:right="819"/>
              <w:spacing w:after="0" w:line="202" w:lineRule="exact"/>
              <w:rPr>
                <w:sz w:val="20"/>
                <w:szCs w:val="20"/>
                <w:color w:val="auto"/>
              </w:rPr>
            </w:pPr>
            <w:r>
              <w:rPr>
                <w:rFonts w:ascii="Arial" w:cs="Arial" w:eastAsia="Arial" w:hAnsi="Arial"/>
                <w:sz w:val="18"/>
                <w:szCs w:val="18"/>
                <w:color w:val="auto"/>
              </w:rPr>
              <w:t>33,455</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11,031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Warrants to purchase preferred shares and shares</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95"/>
              </w:rPr>
              <w:t>7,8</w:t>
            </w:r>
          </w:p>
        </w:tc>
        <w:tc>
          <w:tcPr>
            <w:tcW w:w="2000" w:type="dxa"/>
            <w:vAlign w:val="bottom"/>
            <w:gridSpan w:val="4"/>
          </w:tcPr>
          <w:p>
            <w:pPr>
              <w:jc w:val="right"/>
              <w:ind w:right="839"/>
              <w:spacing w:after="0" w:line="202" w:lineRule="exact"/>
              <w:rPr>
                <w:sz w:val="20"/>
                <w:szCs w:val="20"/>
                <w:color w:val="auto"/>
              </w:rPr>
            </w:pPr>
            <w:r>
              <w:rPr>
                <w:rFonts w:ascii="Arial" w:cs="Arial" w:eastAsia="Arial" w:hAnsi="Arial"/>
                <w:sz w:val="18"/>
                <w:szCs w:val="18"/>
                <w:color w:val="auto"/>
              </w:rPr>
              <w:t>5,398</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4,800</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Liability to issue preferred shares and warrants</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79"/>
              </w:rPr>
              <w:t>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39"/>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4"/>
          </w:tcPr>
          <w:p>
            <w:pPr>
              <w:ind w:left="160"/>
              <w:spacing w:after="0"/>
              <w:rPr>
                <w:sz w:val="20"/>
                <w:szCs w:val="20"/>
                <w:color w:val="auto"/>
              </w:rPr>
            </w:pPr>
            <w:r>
              <w:rPr>
                <w:rFonts w:ascii="Arial" w:cs="Arial" w:eastAsia="Arial" w:hAnsi="Arial"/>
                <w:sz w:val="18"/>
                <w:szCs w:val="18"/>
                <w:color w:val="auto"/>
              </w:rPr>
              <w:t>Severance pay obligations, net</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gridSpan w:val="4"/>
          </w:tcPr>
          <w:p>
            <w:pPr>
              <w:jc w:val="right"/>
              <w:ind w:right="839"/>
              <w:spacing w:after="0"/>
              <w:rPr>
                <w:sz w:val="20"/>
                <w:szCs w:val="20"/>
                <w:color w:val="auto"/>
              </w:rPr>
            </w:pPr>
            <w:r>
              <w:rPr>
                <w:rFonts w:ascii="Arial" w:cs="Arial" w:eastAsia="Arial" w:hAnsi="Arial"/>
                <w:sz w:val="18"/>
                <w:szCs w:val="18"/>
                <w:color w:val="auto"/>
              </w:rPr>
              <w:t>70</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42,816</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20,990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LIABILITIES</w:t>
            </w:r>
          </w:p>
        </w:tc>
        <w:tc>
          <w:tcPr>
            <w:tcW w:w="2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44,836</w:t>
            </w:r>
          </w:p>
        </w:tc>
        <w:tc>
          <w:tcPr>
            <w:tcW w:w="9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31,532</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COMMITMENTS AND CONTINGENCIES</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79"/>
              </w:rPr>
              <w:t>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CAPITAL DEFICIENCY:</w:t>
            </w: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Ordinary Shares, NIS 0.01 par value:</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6"/>
          </w:tcPr>
          <w:p>
            <w:pPr>
              <w:ind w:left="340"/>
              <w:spacing w:after="0" w:line="201" w:lineRule="exact"/>
              <w:rPr>
                <w:sz w:val="20"/>
                <w:szCs w:val="20"/>
                <w:color w:val="auto"/>
              </w:rPr>
            </w:pPr>
            <w:r>
              <w:rPr>
                <w:rFonts w:ascii="Arial" w:cs="Arial" w:eastAsia="Arial" w:hAnsi="Arial"/>
                <w:sz w:val="18"/>
                <w:szCs w:val="18"/>
                <w:color w:val="auto"/>
                <w:w w:val="93"/>
              </w:rPr>
              <w:t>Authorized – as of December 31, 2017 and 2016, 1,000,000 shares; issued and outstanding as of</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4"/>
          </w:tcPr>
          <w:p>
            <w:pPr>
              <w:ind w:left="520"/>
              <w:spacing w:after="0"/>
              <w:rPr>
                <w:sz w:val="20"/>
                <w:szCs w:val="20"/>
                <w:color w:val="auto"/>
              </w:rPr>
            </w:pPr>
            <w:r>
              <w:rPr>
                <w:rFonts w:ascii="Arial" w:cs="Arial" w:eastAsia="Arial" w:hAnsi="Arial"/>
                <w:sz w:val="18"/>
                <w:szCs w:val="18"/>
                <w:color w:val="auto"/>
              </w:rPr>
              <w:t>December 31, 2017 and 2016 – 34,544 shares</w:t>
            </w: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gridSpan w:val="4"/>
          </w:tcPr>
          <w:p>
            <w:pPr>
              <w:jc w:val="right"/>
              <w:ind w:right="83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income</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jc w:val="right"/>
              <w:ind w:right="839"/>
              <w:spacing w:after="0" w:line="202" w:lineRule="exact"/>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gridSpan w:val="4"/>
          </w:tcPr>
          <w:p>
            <w:pPr>
              <w:jc w:val="right"/>
              <w:ind w:right="839"/>
              <w:spacing w:after="0" w:line="202" w:lineRule="exact"/>
              <w:rPr>
                <w:sz w:val="20"/>
                <w:szCs w:val="20"/>
                <w:color w:val="auto"/>
              </w:rPr>
            </w:pPr>
            <w:r>
              <w:rPr>
                <w:rFonts w:ascii="Arial" w:cs="Arial" w:eastAsia="Arial" w:hAnsi="Arial"/>
                <w:sz w:val="18"/>
                <w:szCs w:val="18"/>
                <w:color w:val="auto"/>
              </w:rPr>
              <w:t>7,361</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2,844</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 in capital</w:t>
            </w:r>
          </w:p>
        </w:tc>
        <w:tc>
          <w:tcPr>
            <w:tcW w:w="2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jc w:val="right"/>
              <w:ind w:right="839"/>
              <w:spacing w:after="0" w:line="202" w:lineRule="exact"/>
              <w:rPr>
                <w:sz w:val="20"/>
                <w:szCs w:val="20"/>
                <w:color w:val="auto"/>
              </w:rPr>
            </w:pPr>
            <w:r>
              <w:rPr>
                <w:rFonts w:ascii="Arial" w:cs="Arial" w:eastAsia="Arial" w:hAnsi="Arial"/>
                <w:sz w:val="18"/>
                <w:szCs w:val="18"/>
                <w:color w:val="auto"/>
              </w:rPr>
              <w:t>2,853</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4"/>
          </w:tcPr>
          <w:p>
            <w:pPr>
              <w:ind w:left="160"/>
              <w:spacing w:after="0"/>
              <w:rPr>
                <w:sz w:val="20"/>
                <w:szCs w:val="20"/>
                <w:color w:val="auto"/>
              </w:rPr>
            </w:pPr>
            <w:r>
              <w:rPr>
                <w:rFonts w:ascii="Arial" w:cs="Arial" w:eastAsia="Arial" w:hAnsi="Arial"/>
                <w:sz w:val="18"/>
                <w:szCs w:val="18"/>
                <w:color w:val="auto"/>
              </w:rPr>
              <w:t>Accumulated deficit</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gridSpan w:val="4"/>
          </w:tcPr>
          <w:p>
            <w:pPr>
              <w:jc w:val="right"/>
              <w:ind w:right="759"/>
              <w:spacing w:after="0"/>
              <w:rPr>
                <w:sz w:val="20"/>
                <w:szCs w:val="20"/>
                <w:color w:val="auto"/>
              </w:rPr>
            </w:pPr>
            <w:r>
              <w:rPr>
                <w:rFonts w:ascii="Arial" w:cs="Arial" w:eastAsia="Arial" w:hAnsi="Arial"/>
                <w:sz w:val="18"/>
                <w:szCs w:val="18"/>
                <w:color w:val="auto"/>
              </w:rPr>
              <w:t>(41,813)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CAPITAL DEFICIENCY</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(31,558</w:t>
            </w:r>
          </w:p>
        </w:tc>
        <w:tc>
          <w:tcPr>
            <w:tcW w:w="920" w:type="dxa"/>
            <w:vAlign w:val="bottom"/>
            <w:tcBorders>
              <w:top w:val="single" w:sz="8" w:color="CCEEFF"/>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(25,246</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NET OF CAPITAL DEFICIENCY</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13,278</w:t>
            </w:r>
          </w:p>
        </w:tc>
        <w:tc>
          <w:tcPr>
            <w:tcW w:w="9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660" w:type="dxa"/>
            <w:vAlign w:val="bottom"/>
            <w:gridSpan w:val="5"/>
          </w:tcPr>
          <w:p>
            <w:pPr>
              <w:spacing w:after="0"/>
              <w:rPr>
                <w:sz w:val="20"/>
                <w:szCs w:val="20"/>
                <w:color w:val="auto"/>
              </w:rPr>
            </w:pPr>
            <w:r>
              <w:rPr>
                <w:rFonts w:ascii="Arial" w:cs="Arial" w:eastAsia="Arial" w:hAnsi="Arial"/>
                <w:sz w:val="18"/>
                <w:szCs w:val="18"/>
                <w:color w:val="auto"/>
              </w:rPr>
              <w:t>*   Represents an amount less than one thousand.</w:t>
            </w: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8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40" w:type="dxa"/>
            <w:vAlign w:val="bottom"/>
            <w:gridSpan w:val="4"/>
          </w:tcPr>
          <w:p>
            <w:pPr>
              <w:ind w:left="1040"/>
              <w:spacing w:after="0"/>
              <w:rPr>
                <w:sz w:val="20"/>
                <w:szCs w:val="20"/>
                <w:color w:val="auto"/>
              </w:rPr>
            </w:pPr>
            <w:r>
              <w:rPr>
                <w:rFonts w:ascii="Arial" w:cs="Arial" w:eastAsia="Arial" w:hAnsi="Arial"/>
                <w:sz w:val="18"/>
                <w:szCs w:val="18"/>
                <w:b w:val="1"/>
                <w:bCs w:val="1"/>
                <w:color w:val="auto"/>
              </w:rPr>
              <w:t>Mr. Luke M. Beshar</w:t>
            </w:r>
          </w:p>
        </w:tc>
        <w:tc>
          <w:tcPr>
            <w:tcW w:w="30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4"/>
              </w:rPr>
              <w:t>Mr. Philip Schwartz</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Mrs. Mira Rosenzweig</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4"/>
          </w:tcPr>
          <w:p>
            <w:pPr>
              <w:ind w:left="940"/>
              <w:spacing w:after="0"/>
              <w:rPr>
                <w:sz w:val="20"/>
                <w:szCs w:val="20"/>
                <w:color w:val="auto"/>
              </w:rPr>
            </w:pPr>
            <w:r>
              <w:rPr>
                <w:rFonts w:ascii="Arial" w:cs="Arial" w:eastAsia="Arial" w:hAnsi="Arial"/>
                <w:sz w:val="18"/>
                <w:szCs w:val="18"/>
                <w:b w:val="1"/>
                <w:bCs w:val="1"/>
                <w:color w:val="auto"/>
              </w:rPr>
              <w:t>Chairman of the Board</w:t>
            </w:r>
          </w:p>
        </w:tc>
        <w:tc>
          <w:tcPr>
            <w:tcW w:w="30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Chief Executive Officer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gridSpan w:val="4"/>
          </w:tcPr>
          <w:p>
            <w:pPr>
              <w:ind w:left="180"/>
              <w:spacing w:after="0"/>
              <w:rPr>
                <w:sz w:val="20"/>
                <w:szCs w:val="20"/>
                <w:color w:val="auto"/>
              </w:rPr>
            </w:pPr>
            <w:r>
              <w:rPr>
                <w:rFonts w:ascii="Arial" w:cs="Arial" w:eastAsia="Arial" w:hAnsi="Arial"/>
                <w:sz w:val="18"/>
                <w:szCs w:val="18"/>
                <w:b w:val="1"/>
                <w:bCs w:val="1"/>
                <w:color w:val="auto"/>
                <w:w w:val="94"/>
              </w:rPr>
              <w:t>Chief Financial Officer</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-2898140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-3755390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-4965065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-5582285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-6490970</wp:posOffset>
            </wp:positionV>
            <wp:extent cx="13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of approval of the financial statements: March 30, 2018.</w:t>
      </w:r>
    </w:p>
    <w:p>
      <w:pPr>
        <w:spacing w:after="0" w:line="8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3" w:name="page184"/>
    <w:bookmarkEnd w:id="18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6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4"/>
                <w:szCs w:val="14"/>
                <w:b w:val="1"/>
                <w:bCs w:val="1"/>
                <w:color w:val="auto"/>
              </w:rPr>
              <w:t>Note</w:t>
            </w:r>
          </w:p>
        </w:tc>
        <w:tc>
          <w:tcPr>
            <w:tcW w:w="840" w:type="dxa"/>
            <w:vAlign w:val="bottom"/>
            <w:gridSpan w:val="3"/>
          </w:tcPr>
          <w:p>
            <w:pPr>
              <w:jc w:val="right"/>
              <w:ind w:right="18"/>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17"/>
                <w:szCs w:val="17"/>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gridSpan w:val="5"/>
          </w:tcPr>
          <w:p>
            <w:pPr>
              <w:ind w:left="240"/>
              <w:spacing w:after="0"/>
              <w:rPr>
                <w:sz w:val="20"/>
                <w:szCs w:val="20"/>
                <w:color w:val="auto"/>
              </w:rPr>
            </w:pPr>
            <w:r>
              <w:rPr>
                <w:rFonts w:ascii="Arial" w:cs="Arial" w:eastAsia="Arial" w:hAnsi="Arial"/>
                <w:sz w:val="14"/>
                <w:szCs w:val="14"/>
                <w:b w:val="1"/>
                <w:bCs w:val="1"/>
                <w:color w:val="auto"/>
              </w:rPr>
              <w:t>U.S. dollars in thousands</w:t>
            </w:r>
          </w:p>
        </w:tc>
        <w:tc>
          <w:tcPr>
            <w:tcW w:w="0" w:type="dxa"/>
            <w:vAlign w:val="bottom"/>
          </w:tcPr>
          <w:p>
            <w:pPr>
              <w:spacing w:after="0"/>
              <w:rPr>
                <w:sz w:val="1"/>
                <w:szCs w:val="1"/>
                <w:color w:val="auto"/>
              </w:rPr>
            </w:pPr>
          </w:p>
        </w:tc>
      </w:tr>
      <w:tr>
        <w:trPr>
          <w:trHeight w:val="257"/>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780" w:type="dxa"/>
            <w:vAlign w:val="bottom"/>
            <w:gridSpan w:val="4"/>
            <w:shd w:val="clear" w:color="auto" w:fill="CCEEFF"/>
          </w:tcPr>
          <w:p>
            <w:pPr>
              <w:jc w:val="right"/>
              <w:ind w:right="868"/>
              <w:spacing w:after="0"/>
              <w:rPr>
                <w:sz w:val="20"/>
                <w:szCs w:val="20"/>
                <w:color w:val="auto"/>
              </w:rPr>
            </w:pPr>
            <w:r>
              <w:rPr>
                <w:rFonts w:ascii="Arial" w:cs="Arial" w:eastAsia="Arial" w:hAnsi="Arial"/>
                <w:sz w:val="18"/>
                <w:szCs w:val="18"/>
                <w:color w:val="auto"/>
              </w:rPr>
              <w:t>2,768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gridSpan w:val="2"/>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9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4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9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FINANCIAL INCOME:</w:t>
            </w:r>
          </w:p>
        </w:tc>
        <w:tc>
          <w:tcPr>
            <w:tcW w:w="800" w:type="dxa"/>
            <w:vAlign w:val="bottom"/>
            <w:tcBorders>
              <w:top w:val="single" w:sz="8" w:color="CCEEFF"/>
            </w:tcBorders>
            <w:gridSpan w:val="2"/>
          </w:tcPr>
          <w:p>
            <w:pPr>
              <w:ind w:left="400"/>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780" w:type="dxa"/>
            <w:vAlign w:val="bottom"/>
            <w:gridSpan w:val="4"/>
            <w:shd w:val="clear" w:color="auto" w:fill="CCEEFF"/>
          </w:tcPr>
          <w:p>
            <w:pPr>
              <w:jc w:val="right"/>
              <w:ind w:right="808"/>
              <w:spacing w:after="0"/>
              <w:rPr>
                <w:sz w:val="20"/>
                <w:szCs w:val="20"/>
                <w:color w:val="auto"/>
              </w:rPr>
            </w:pPr>
            <w:r>
              <w:rPr>
                <w:rFonts w:ascii="Arial" w:cs="Arial" w:eastAsia="Arial" w:hAnsi="Arial"/>
                <w:sz w:val="18"/>
                <w:szCs w:val="18"/>
                <w:color w:val="auto"/>
              </w:rPr>
              <w:t>(251)</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(4,311)</w:t>
            </w:r>
          </w:p>
        </w:tc>
        <w:tc>
          <w:tcPr>
            <w:tcW w:w="0" w:type="dxa"/>
            <w:vAlign w:val="bottom"/>
          </w:tcPr>
          <w:p>
            <w:pPr>
              <w:spacing w:after="0"/>
              <w:rPr>
                <w:sz w:val="1"/>
                <w:szCs w:val="1"/>
                <w:color w:val="auto"/>
              </w:rPr>
            </w:pPr>
          </w:p>
        </w:tc>
      </w:tr>
      <w:tr>
        <w:trPr>
          <w:trHeight w:val="264"/>
        </w:trPr>
        <w:tc>
          <w:tcPr>
            <w:tcW w:w="7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financial expenses, net</w:t>
            </w: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gridSpan w:val="2"/>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9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FINANCIAL EXPENSES (INCOME), </w:t>
            </w:r>
            <w:r>
              <w:rPr>
                <w:rFonts w:ascii="Arial" w:cs="Arial" w:eastAsia="Arial" w:hAnsi="Arial"/>
                <w:sz w:val="18"/>
                <w:szCs w:val="18"/>
                <w:color w:val="auto"/>
              </w:rPr>
              <w:t>net</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144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(146)</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(4,168)</w:t>
            </w:r>
          </w:p>
        </w:tc>
        <w:tc>
          <w:tcPr>
            <w:tcW w:w="0" w:type="dxa"/>
            <w:vAlign w:val="bottom"/>
          </w:tcPr>
          <w:p>
            <w:pPr>
              <w:spacing w:after="0"/>
              <w:rPr>
                <w:sz w:val="1"/>
                <w:szCs w:val="1"/>
                <w:color w:val="auto"/>
              </w:rPr>
            </w:pPr>
          </w:p>
        </w:tc>
      </w:tr>
      <w:tr>
        <w:trPr>
          <w:trHeight w:val="257"/>
        </w:trPr>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COMPREHENSIVE LOSS</w:t>
            </w:r>
          </w:p>
        </w:tc>
        <w:tc>
          <w:tcPr>
            <w:tcW w:w="20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gridSpan w:val="2"/>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11,197</w:t>
            </w:r>
          </w:p>
        </w:tc>
        <w:tc>
          <w:tcPr>
            <w:tcW w:w="9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4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U.S. dollars (except for</w:t>
            </w:r>
          </w:p>
        </w:tc>
        <w:tc>
          <w:tcPr>
            <w:tcW w:w="0" w:type="dxa"/>
            <w:vAlign w:val="bottom"/>
          </w:tcPr>
          <w:p>
            <w:pPr>
              <w:spacing w:after="0"/>
              <w:rPr>
                <w:sz w:val="1"/>
                <w:szCs w:val="1"/>
                <w:color w:val="auto"/>
              </w:rPr>
            </w:pPr>
          </w:p>
        </w:tc>
      </w:tr>
      <w:tr>
        <w:trPr>
          <w:trHeight w:val="186"/>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1"/>
              </w:rPr>
              <w:t>share numbers)</w:t>
            </w:r>
          </w:p>
        </w:tc>
        <w:tc>
          <w:tcPr>
            <w:tcW w:w="0" w:type="dxa"/>
            <w:vAlign w:val="bottom"/>
          </w:tcPr>
          <w:p>
            <w:pPr>
              <w:spacing w:after="0"/>
              <w:rPr>
                <w:sz w:val="1"/>
                <w:szCs w:val="1"/>
                <w:color w:val="auto"/>
              </w:rPr>
            </w:pPr>
          </w:p>
        </w:tc>
      </w:tr>
      <w:tr>
        <w:trPr>
          <w:trHeight w:val="26"/>
        </w:trPr>
        <w:tc>
          <w:tcPr>
            <w:tcW w:w="77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LOSS PER ORDINARY SHARE </w:t>
            </w: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70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9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gridSpan w:val="2"/>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gridSpan w:val="2"/>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9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 xml:space="preserve">WEIGHTED AVERAGE NUMBER OF ORDINARY SHARES </w:t>
            </w:r>
            <w:r>
              <w:rPr>
                <w:rFonts w:ascii="Arial" w:cs="Arial" w:eastAsia="Arial" w:hAnsi="Arial"/>
                <w:sz w:val="18"/>
                <w:szCs w:val="18"/>
                <w:color w:val="auto"/>
              </w:rPr>
              <w:t>–</w:t>
            </w: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34,544</w:t>
            </w:r>
          </w:p>
        </w:tc>
        <w:tc>
          <w:tcPr>
            <w:tcW w:w="9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34,409</w:t>
            </w: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34,544</w:t>
            </w:r>
          </w:p>
        </w:tc>
        <w:tc>
          <w:tcPr>
            <w:tcW w:w="9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51,972</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-3060700</wp:posOffset>
            </wp:positionV>
            <wp:extent cx="137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55143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4" w:name="page185"/>
    <w:bookmarkEnd w:id="18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CAPITAL DEFICIENCY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Ordinary</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ordinary</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paid in</w:t>
            </w:r>
          </w:p>
        </w:tc>
        <w:tc>
          <w:tcPr>
            <w:tcW w:w="16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Accumulated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shares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reserves</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6"/>
                <w:szCs w:val="16"/>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deficit</w:t>
            </w: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7"/>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AT JANUARY 1, 2016</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34,396</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4"/>
              </w:rPr>
              <w:t>41</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1,354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2,335</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(29,417)</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88"/>
              </w:rPr>
              <w:t>(25,687)</w:t>
            </w:r>
          </w:p>
        </w:tc>
        <w:tc>
          <w:tcPr>
            <w:tcW w:w="0" w:type="dxa"/>
            <w:vAlign w:val="bottom"/>
          </w:tcPr>
          <w:p>
            <w:pPr>
              <w:spacing w:after="0"/>
              <w:rPr>
                <w:sz w:val="1"/>
                <w:szCs w:val="1"/>
                <w:color w:val="auto"/>
              </w:rPr>
            </w:pPr>
          </w:p>
        </w:tc>
      </w:tr>
      <w:tr>
        <w:trPr>
          <w:trHeight w:val="297"/>
        </w:trPr>
        <w:tc>
          <w:tcPr>
            <w:tcW w:w="3460" w:type="dxa"/>
            <w:vAlign w:val="bottom"/>
            <w:gridSpan w:val="2"/>
          </w:tcPr>
          <w:p>
            <w:pPr>
              <w:spacing w:after="0"/>
              <w:rPr>
                <w:sz w:val="20"/>
                <w:szCs w:val="20"/>
                <w:color w:val="auto"/>
              </w:rPr>
            </w:pPr>
            <w:r>
              <w:rPr>
                <w:rFonts w:ascii="Arial" w:cs="Arial" w:eastAsia="Arial" w:hAnsi="Arial"/>
                <w:sz w:val="17"/>
                <w:szCs w:val="17"/>
                <w:b w:val="1"/>
                <w:bCs w:val="1"/>
                <w:color w:val="auto"/>
              </w:rPr>
              <w:t>CHANGES DURING THE YEAR ENDED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gridSpan w:val="2"/>
          </w:tcPr>
          <w:p>
            <w:pPr>
              <w:ind w:left="180"/>
              <w:spacing w:after="0"/>
              <w:rPr>
                <w:sz w:val="20"/>
                <w:szCs w:val="20"/>
                <w:color w:val="auto"/>
              </w:rPr>
            </w:pPr>
            <w:r>
              <w:rPr>
                <w:rFonts w:ascii="Arial" w:cs="Arial" w:eastAsia="Arial" w:hAnsi="Arial"/>
                <w:sz w:val="17"/>
                <w:szCs w:val="17"/>
                <w:b w:val="1"/>
                <w:bCs w:val="1"/>
                <w:color w:val="auto"/>
              </w:rPr>
              <w:t>DECEMBER 31, 2016: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Issuance of shares</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148</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508"/>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150</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Loss for the year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w:t>
            </w:r>
          </w:p>
        </w:tc>
        <w:tc>
          <w:tcPr>
            <w:tcW w:w="580" w:type="dxa"/>
            <w:vAlign w:val="bottom"/>
          </w:tcPr>
          <w:p>
            <w:pPr>
              <w:spacing w:after="0"/>
              <w:rPr>
                <w:sz w:val="19"/>
                <w:szCs w:val="19"/>
                <w:color w:val="auto"/>
              </w:rPr>
            </w:pPr>
          </w:p>
        </w:tc>
        <w:tc>
          <w:tcPr>
            <w:tcW w:w="740" w:type="dxa"/>
            <w:vAlign w:val="bottom"/>
            <w:gridSpan w:val="2"/>
          </w:tcPr>
          <w:p>
            <w:pPr>
              <w:jc w:val="center"/>
              <w:ind w:right="508"/>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60" w:type="dxa"/>
            <w:vAlign w:val="bottom"/>
            <w:gridSpan w:val="3"/>
          </w:tcPr>
          <w:p>
            <w:pPr>
              <w:jc w:val="right"/>
              <w:ind w:right="660"/>
              <w:spacing w:after="0"/>
              <w:rPr>
                <w:sz w:val="20"/>
                <w:szCs w:val="20"/>
                <w:color w:val="auto"/>
              </w:rPr>
            </w:pPr>
            <w:r>
              <w:rPr>
                <w:rFonts w:ascii="Arial" w:cs="Arial" w:eastAsia="Arial" w:hAnsi="Arial"/>
                <w:sz w:val="17"/>
                <w:szCs w:val="17"/>
                <w:color w:val="auto"/>
              </w:rPr>
              <w:t>(1,199)</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(1,199)</w:t>
            </w:r>
          </w:p>
        </w:tc>
        <w:tc>
          <w:tcPr>
            <w:tcW w:w="0" w:type="dxa"/>
            <w:vAlign w:val="bottom"/>
          </w:tcPr>
          <w:p>
            <w:pPr>
              <w:spacing w:after="0"/>
              <w:rPr>
                <w:sz w:val="1"/>
                <w:szCs w:val="1"/>
                <w:color w:val="auto"/>
              </w:rPr>
            </w:pPr>
          </w:p>
        </w:tc>
      </w:tr>
      <w:tr>
        <w:trPr>
          <w:trHeight w:val="248"/>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Share-based compensation</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508"/>
              <w:spacing w:after="0"/>
              <w:rPr>
                <w:sz w:val="20"/>
                <w:szCs w:val="20"/>
                <w:color w:val="auto"/>
              </w:rPr>
            </w:pPr>
            <w:r>
              <w:rPr>
                <w:rFonts w:ascii="Arial" w:cs="Arial" w:eastAsia="Arial" w:hAnsi="Arial"/>
                <w:sz w:val="17"/>
                <w:szCs w:val="17"/>
                <w:color w:val="auto"/>
                <w:w w:val="93"/>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1,490</w:t>
            </w:r>
          </w:p>
        </w:tc>
        <w:tc>
          <w:tcPr>
            <w:tcW w:w="3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1,490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7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7"/>
                <w:szCs w:val="17"/>
                <w:b w:val="1"/>
                <w:bCs w:val="1"/>
                <w:color w:val="auto"/>
              </w:rPr>
              <w:t>BALANCE AT DECEMBER 31, 2016</w:t>
            </w:r>
          </w:p>
        </w:tc>
        <w:tc>
          <w:tcPr>
            <w:tcW w:w="420" w:type="dxa"/>
            <w:vAlign w:val="bottom"/>
            <w:gridSpan w:val="2"/>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34,544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auto"/>
                <w:w w:val="84"/>
              </w:rPr>
              <w:t>41</w:t>
            </w: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rPr>
              <w:t>2,844</w:t>
            </w:r>
          </w:p>
        </w:tc>
        <w:tc>
          <w:tcPr>
            <w:tcW w:w="1140" w:type="dxa"/>
            <w:vAlign w:val="bottom"/>
            <w:gridSpan w:val="3"/>
          </w:tcPr>
          <w:p>
            <w:pPr>
              <w:jc w:val="right"/>
              <w:ind w:right="380"/>
              <w:spacing w:after="0"/>
              <w:rPr>
                <w:sz w:val="20"/>
                <w:szCs w:val="20"/>
                <w:color w:val="auto"/>
              </w:rPr>
            </w:pPr>
            <w:r>
              <w:rPr>
                <w:rFonts w:ascii="Arial" w:cs="Arial" w:eastAsia="Arial" w:hAnsi="Arial"/>
                <w:sz w:val="17"/>
                <w:szCs w:val="17"/>
                <w:color w:val="auto"/>
              </w:rPr>
              <w:t>2,485</w:t>
            </w:r>
          </w:p>
        </w:tc>
        <w:tc>
          <w:tcPr>
            <w:tcW w:w="1660" w:type="dxa"/>
            <w:vAlign w:val="bottom"/>
            <w:gridSpan w:val="3"/>
          </w:tcPr>
          <w:p>
            <w:pPr>
              <w:jc w:val="right"/>
              <w:ind w:right="660"/>
              <w:spacing w:after="0"/>
              <w:rPr>
                <w:sz w:val="20"/>
                <w:szCs w:val="20"/>
                <w:color w:val="auto"/>
              </w:rPr>
            </w:pPr>
            <w:r>
              <w:rPr>
                <w:rFonts w:ascii="Arial" w:cs="Arial" w:eastAsia="Arial" w:hAnsi="Arial"/>
                <w:sz w:val="17"/>
                <w:szCs w:val="17"/>
                <w:color w:val="auto"/>
              </w:rPr>
              <w:t>(30,616)</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w w:val="88"/>
              </w:rPr>
              <w:t>(25,246)</w:t>
            </w:r>
          </w:p>
        </w:tc>
        <w:tc>
          <w:tcPr>
            <w:tcW w:w="0" w:type="dxa"/>
            <w:vAlign w:val="bottom"/>
          </w:tcPr>
          <w:p>
            <w:pPr>
              <w:spacing w:after="0"/>
              <w:rPr>
                <w:sz w:val="1"/>
                <w:szCs w:val="1"/>
                <w:color w:val="auto"/>
              </w:rPr>
            </w:pPr>
          </w:p>
        </w:tc>
      </w:tr>
      <w:tr>
        <w:trPr>
          <w:trHeight w:val="297"/>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CHANGES DURING THE YEAR ENDED</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DECEMBER 31, 2017: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Loss for the year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7"/>
                <w:szCs w:val="17"/>
                <w:color w:val="auto"/>
                <w:w w:val="93"/>
              </w:rPr>
              <w:t>—</w:t>
            </w:r>
          </w:p>
        </w:tc>
        <w:tc>
          <w:tcPr>
            <w:tcW w:w="580" w:type="dxa"/>
            <w:vAlign w:val="bottom"/>
          </w:tcPr>
          <w:p>
            <w:pPr>
              <w:spacing w:after="0"/>
              <w:rPr>
                <w:sz w:val="19"/>
                <w:szCs w:val="19"/>
                <w:color w:val="auto"/>
              </w:rPr>
            </w:pPr>
          </w:p>
        </w:tc>
        <w:tc>
          <w:tcPr>
            <w:tcW w:w="740" w:type="dxa"/>
            <w:vAlign w:val="bottom"/>
            <w:gridSpan w:val="2"/>
          </w:tcPr>
          <w:p>
            <w:pPr>
              <w:jc w:val="center"/>
              <w:ind w:right="508"/>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60" w:type="dxa"/>
            <w:vAlign w:val="bottom"/>
            <w:gridSpan w:val="3"/>
          </w:tcPr>
          <w:p>
            <w:pPr>
              <w:jc w:val="right"/>
              <w:ind w:right="660"/>
              <w:spacing w:after="0"/>
              <w:rPr>
                <w:sz w:val="20"/>
                <w:szCs w:val="20"/>
                <w:color w:val="auto"/>
              </w:rPr>
            </w:pPr>
            <w:r>
              <w:rPr>
                <w:rFonts w:ascii="Arial" w:cs="Arial" w:eastAsia="Arial" w:hAnsi="Arial"/>
                <w:sz w:val="17"/>
                <w:szCs w:val="17"/>
                <w:color w:val="auto"/>
              </w:rPr>
              <w:t>(11,197)</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w w:val="88"/>
              </w:rPr>
              <w:t>(11,197)</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Share based compensation</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3"/>
              </w:rPr>
              <w:t>—</w:t>
            </w:r>
          </w:p>
        </w:tc>
        <w:tc>
          <w:tcPr>
            <w:tcW w:w="5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508"/>
              <w:spacing w:after="0"/>
              <w:rPr>
                <w:sz w:val="20"/>
                <w:szCs w:val="20"/>
                <w:color w:val="auto"/>
              </w:rPr>
            </w:pPr>
            <w:r>
              <w:rPr>
                <w:rFonts w:ascii="Arial" w:cs="Arial" w:eastAsia="Arial" w:hAnsi="Arial"/>
                <w:sz w:val="17"/>
                <w:szCs w:val="17"/>
                <w:color w:val="auto"/>
                <w:w w:val="93"/>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4,885</w:t>
            </w: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4,885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Reclassification of capital contribution from</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56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w w:val="93"/>
              </w:rPr>
              <w:t>—</w:t>
            </w:r>
          </w:p>
        </w:tc>
        <w:tc>
          <w:tcPr>
            <w:tcW w:w="580" w:type="dxa"/>
            <w:vAlign w:val="bottom"/>
          </w:tcPr>
          <w:p>
            <w:pPr>
              <w:spacing w:after="0"/>
              <w:rPr>
                <w:sz w:val="16"/>
                <w:szCs w:val="16"/>
                <w:color w:val="auto"/>
              </w:rPr>
            </w:pPr>
          </w:p>
        </w:tc>
        <w:tc>
          <w:tcPr>
            <w:tcW w:w="740" w:type="dxa"/>
            <w:vAlign w:val="bottom"/>
            <w:gridSpan w:val="2"/>
            <w:vMerge w:val="restart"/>
          </w:tcPr>
          <w:p>
            <w:pPr>
              <w:jc w:val="center"/>
              <w:ind w:right="508"/>
              <w:spacing w:after="0"/>
              <w:rPr>
                <w:sz w:val="20"/>
                <w:szCs w:val="20"/>
                <w:color w:val="auto"/>
              </w:rPr>
            </w:pPr>
            <w:r>
              <w:rPr>
                <w:rFonts w:ascii="Arial" w:cs="Arial" w:eastAsia="Arial" w:hAnsi="Arial"/>
                <w:sz w:val="17"/>
                <w:szCs w:val="17"/>
                <w:color w:val="auto"/>
                <w:w w:val="93"/>
              </w:rPr>
              <w:t>—</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(333)</w:t>
            </w: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7"/>
                <w:szCs w:val="17"/>
                <w:color w:val="auto"/>
              </w:rPr>
              <w:t>333</w:t>
            </w:r>
          </w:p>
        </w:tc>
        <w:tc>
          <w:tcPr>
            <w:tcW w:w="400" w:type="dxa"/>
            <w:vAlign w:val="bottom"/>
          </w:tcPr>
          <w:p>
            <w:pPr>
              <w:spacing w:after="0"/>
              <w:rPr>
                <w:sz w:val="16"/>
                <w:szCs w:val="16"/>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7"/>
                <w:szCs w:val="17"/>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gridSpan w:val="2"/>
          </w:tcPr>
          <w:p>
            <w:pPr>
              <w:ind w:left="360"/>
              <w:spacing w:after="0"/>
              <w:rPr>
                <w:sz w:val="20"/>
                <w:szCs w:val="20"/>
                <w:color w:val="auto"/>
              </w:rPr>
            </w:pPr>
            <w:r>
              <w:rPr>
                <w:rFonts w:ascii="Arial" w:cs="Arial" w:eastAsia="Arial" w:hAnsi="Arial"/>
                <w:sz w:val="17"/>
                <w:szCs w:val="17"/>
                <w:color w:val="auto"/>
              </w:rPr>
              <w:t>controlling shareholder (note 7a)</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Reclassification due to share-based</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vMerge w:val="restart"/>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380" w:type="dxa"/>
            <w:vAlign w:val="bottom"/>
            <w:vMerge w:val="restart"/>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center"/>
              <w:ind w:right="508"/>
              <w:spacing w:after="0"/>
              <w:rPr>
                <w:sz w:val="20"/>
                <w:szCs w:val="20"/>
                <w:color w:val="auto"/>
              </w:rPr>
            </w:pPr>
            <w:r>
              <w:rPr>
                <w:rFonts w:ascii="Arial" w:cs="Arial" w:eastAsia="Arial" w:hAnsi="Arial"/>
                <w:sz w:val="17"/>
                <w:szCs w:val="17"/>
                <w:color w:val="auto"/>
                <w:w w:val="93"/>
              </w:rPr>
              <w:t>—</w:t>
            </w:r>
          </w:p>
        </w:tc>
        <w:tc>
          <w:tcPr>
            <w:tcW w:w="9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(35)</w:t>
            </w:r>
          </w:p>
        </w:tc>
        <w:tc>
          <w:tcPr>
            <w:tcW w:w="114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7"/>
                <w:szCs w:val="17"/>
                <w:color w:val="auto"/>
              </w:rPr>
              <w:t>35</w:t>
            </w:r>
          </w:p>
        </w:tc>
        <w:tc>
          <w:tcPr>
            <w:tcW w:w="40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compensation forfeited</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460" w:type="dxa"/>
            <w:vAlign w:val="bottom"/>
            <w:gridSpan w:val="2"/>
          </w:tcPr>
          <w:p>
            <w:pPr>
              <w:ind w:left="180"/>
              <w:spacing w:after="0"/>
              <w:rPr>
                <w:sz w:val="20"/>
                <w:szCs w:val="20"/>
                <w:color w:val="auto"/>
              </w:rPr>
            </w:pPr>
            <w:r>
              <w:rPr>
                <w:rFonts w:ascii="Arial" w:cs="Arial" w:eastAsia="Arial" w:hAnsi="Arial"/>
                <w:sz w:val="17"/>
                <w:szCs w:val="17"/>
                <w:b w:val="1"/>
                <w:bCs w:val="1"/>
                <w:color w:val="auto"/>
              </w:rPr>
              <w:t>BALANCE AT DECEMBER 31, 2017</w:t>
            </w:r>
          </w:p>
        </w:tc>
        <w:tc>
          <w:tcPr>
            <w:tcW w:w="420" w:type="dxa"/>
            <w:vAlign w:val="bottom"/>
            <w:gridSpan w:val="2"/>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34,544</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auto"/>
                <w:w w:val="84"/>
              </w:rPr>
              <w:t>41</w:t>
            </w: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rPr>
              <w:t>7,361</w:t>
            </w:r>
          </w:p>
        </w:tc>
        <w:tc>
          <w:tcPr>
            <w:tcW w:w="1140" w:type="dxa"/>
            <w:vAlign w:val="bottom"/>
            <w:gridSpan w:val="3"/>
          </w:tcPr>
          <w:p>
            <w:pPr>
              <w:jc w:val="right"/>
              <w:ind w:right="380"/>
              <w:spacing w:after="0"/>
              <w:rPr>
                <w:sz w:val="20"/>
                <w:szCs w:val="20"/>
                <w:color w:val="auto"/>
              </w:rPr>
            </w:pPr>
            <w:r>
              <w:rPr>
                <w:rFonts w:ascii="Arial" w:cs="Arial" w:eastAsia="Arial" w:hAnsi="Arial"/>
                <w:sz w:val="17"/>
                <w:szCs w:val="17"/>
                <w:color w:val="auto"/>
              </w:rPr>
              <w:t>2,853</w:t>
            </w:r>
          </w:p>
        </w:tc>
        <w:tc>
          <w:tcPr>
            <w:tcW w:w="1660" w:type="dxa"/>
            <w:vAlign w:val="bottom"/>
            <w:gridSpan w:val="3"/>
          </w:tcPr>
          <w:p>
            <w:pPr>
              <w:jc w:val="right"/>
              <w:ind w:right="660"/>
              <w:spacing w:after="0"/>
              <w:rPr>
                <w:sz w:val="20"/>
                <w:szCs w:val="20"/>
                <w:color w:val="auto"/>
              </w:rPr>
            </w:pPr>
            <w:r>
              <w:rPr>
                <w:rFonts w:ascii="Arial" w:cs="Arial" w:eastAsia="Arial" w:hAnsi="Arial"/>
                <w:sz w:val="17"/>
                <w:szCs w:val="17"/>
                <w:color w:val="auto"/>
              </w:rPr>
              <w:t>(41,813)</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w w:val="88"/>
              </w:rPr>
              <w:t>(31,558)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70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6565900</wp:posOffset>
            </wp:positionH>
            <wp:positionV relativeFrom="paragraph">
              <wp:posOffset>-2683510</wp:posOffset>
            </wp:positionV>
            <wp:extent cx="1028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-2683510</wp:posOffset>
            </wp:positionV>
            <wp:extent cx="1028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-2683510</wp:posOffset>
            </wp:positionV>
            <wp:extent cx="1028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-2683510</wp:posOffset>
            </wp:positionV>
            <wp:extent cx="1028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-2683510</wp:posOffset>
            </wp:positionV>
            <wp:extent cx="1028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-2683510</wp:posOffset>
            </wp:positionV>
            <wp:extent cx="102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2" w:lineRule="exact"/>
        <w:rPr>
          <w:sz w:val="20"/>
          <w:szCs w:val="20"/>
          <w:color w:val="auto"/>
        </w:rPr>
      </w:pPr>
    </w:p>
    <w:p>
      <w:pPr>
        <w:ind w:left="360" w:hanging="352"/>
        <w:spacing w:after="0"/>
        <w:tabs>
          <w:tab w:leader="none" w:pos="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an amount of less than one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5" w:name="page186"/>
    <w:bookmarkEnd w:id="18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8"/>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spacing w:after="0"/>
              <w:rPr>
                <w:sz w:val="17"/>
                <w:szCs w:val="17"/>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6"/>
        </w:trPr>
        <w:tc>
          <w:tcPr>
            <w:tcW w:w="8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r>
      <w:tr>
        <w:trPr>
          <w:trHeight w:val="183"/>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U.S. dollars in thousands</w:t>
            </w:r>
          </w:p>
        </w:tc>
      </w:tr>
      <w:tr>
        <w:trPr>
          <w:trHeight w:val="257"/>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r>
      <w:tr>
        <w:trPr>
          <w:trHeight w:val="257"/>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Loss for the year</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w w:val="89"/>
              </w:rPr>
              <w:t>(11,197)</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(1,199)</w:t>
            </w:r>
          </w:p>
        </w:tc>
      </w:tr>
      <w:tr>
        <w:trPr>
          <w:trHeight w:val="250"/>
        </w:trPr>
        <w:tc>
          <w:tcPr>
            <w:tcW w:w="8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required to reflect net cash used in operating activities (see appendix A)</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6,671</w:t>
            </w: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1"/>
              </w:rPr>
              <w:t>(1,943)</w:t>
            </w:r>
          </w:p>
        </w:tc>
      </w:tr>
      <w:tr>
        <w:trPr>
          <w:trHeight w:val="20"/>
        </w:trPr>
        <w:tc>
          <w:tcPr>
            <w:tcW w:w="87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r>
      <w:tr>
        <w:trPr>
          <w:trHeight w:val="257"/>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(4,526)</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(3,142)</w:t>
            </w:r>
          </w:p>
        </w:tc>
      </w:tr>
      <w:tr>
        <w:trPr>
          <w:trHeight w:val="365"/>
        </w:trPr>
        <w:tc>
          <w:tcPr>
            <w:tcW w:w="9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r>
      <w:tr>
        <w:trPr>
          <w:trHeight w:val="257"/>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Decrease (increase) in restricted deposits</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1,053</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(1,075)</w:t>
            </w:r>
          </w:p>
        </w:tc>
      </w:tr>
      <w:tr>
        <w:trPr>
          <w:trHeight w:val="263"/>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r>
      <w:tr>
        <w:trPr>
          <w:trHeight w:val="20"/>
        </w:trPr>
        <w:tc>
          <w:tcPr>
            <w:tcW w:w="87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r>
      <w:tr>
        <w:trPr>
          <w:trHeight w:val="264"/>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1,002</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(1,116)</w:t>
            </w:r>
          </w:p>
        </w:tc>
      </w:tr>
      <w:tr>
        <w:trPr>
          <w:trHeight w:val="365"/>
        </w:trPr>
        <w:tc>
          <w:tcPr>
            <w:tcW w:w="9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r>
      <w:tr>
        <w:trPr>
          <w:trHeight w:val="257"/>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preferred shares and warrants, net</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w w:val="98"/>
              </w:rPr>
              <w:t>12,087</w:t>
            </w: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r>
      <w:tr>
        <w:trPr>
          <w:trHeight w:val="257"/>
        </w:trPr>
        <w:tc>
          <w:tcPr>
            <w:tcW w:w="9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convertible loan and warrants, net</w:t>
            </w: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7,216</w:t>
            </w:r>
          </w:p>
        </w:tc>
        <w:tc>
          <w:tcPr>
            <w:tcW w:w="400" w:type="dxa"/>
            <w:vAlign w:val="bottom"/>
            <w:shd w:val="clear" w:color="auto" w:fill="CCEEFF"/>
          </w:tcPr>
          <w:p>
            <w:pPr>
              <w:spacing w:after="0"/>
              <w:rPr>
                <w:sz w:val="22"/>
                <w:szCs w:val="22"/>
                <w:color w:val="auto"/>
              </w:rPr>
            </w:pPr>
          </w:p>
        </w:tc>
      </w:tr>
      <w:tr>
        <w:trPr>
          <w:trHeight w:val="264"/>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Payment for maturity of Convertible loans</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(980)</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64"/>
        </w:trPr>
        <w:tc>
          <w:tcPr>
            <w:tcW w:w="8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generated from financing activities</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11,107</w:t>
            </w: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57"/>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7,583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2,958</w:t>
            </w:r>
          </w:p>
        </w:tc>
        <w:tc>
          <w:tcPr>
            <w:tcW w:w="400" w:type="dxa"/>
            <w:vAlign w:val="bottom"/>
          </w:tcPr>
          <w:p>
            <w:pPr>
              <w:spacing w:after="0"/>
              <w:rPr>
                <w:sz w:val="22"/>
                <w:szCs w:val="22"/>
                <w:color w:val="auto"/>
              </w:rPr>
            </w:pPr>
          </w:p>
        </w:tc>
      </w:tr>
      <w:tr>
        <w:trPr>
          <w:trHeight w:val="264"/>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THE YEAR</w:t>
            </w:r>
          </w:p>
        </w:tc>
        <w:tc>
          <w:tcPr>
            <w:tcW w:w="3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4,163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400" w:type="dxa"/>
            <w:vAlign w:val="bottom"/>
            <w:shd w:val="clear" w:color="auto" w:fill="CCEEFF"/>
          </w:tcPr>
          <w:p>
            <w:pPr>
              <w:spacing w:after="0"/>
              <w:rPr>
                <w:sz w:val="22"/>
                <w:szCs w:val="22"/>
                <w:color w:val="auto"/>
              </w:rPr>
            </w:pPr>
          </w:p>
        </w:tc>
      </w:tr>
      <w:tr>
        <w:trPr>
          <w:trHeight w:val="257"/>
        </w:trPr>
        <w:tc>
          <w:tcPr>
            <w:tcW w:w="90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11,746</w:t>
            </w:r>
          </w:p>
        </w:tc>
        <w:tc>
          <w:tcPr>
            <w:tcW w:w="940" w:type="dxa"/>
            <w:vAlign w:val="bottom"/>
            <w:tcBorders>
              <w:top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20" w:type="dxa"/>
            <w:vAlign w:val="bottom"/>
            <w:tcBorders>
              <w:top w:val="single" w:sz="8" w:color="CCEEFF"/>
              <w:bottom w:val="single" w:sz="8" w:color="auto"/>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-2211705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-3018155</wp:posOffset>
            </wp:positionV>
            <wp:extent cx="137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6" w:name="page187"/>
    <w:bookmarkEnd w:id="18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 –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9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9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7"/>
                <w:szCs w:val="17"/>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
        </w:trPr>
        <w:tc>
          <w:tcPr>
            <w:tcW w:w="9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r>
      <w:tr>
        <w:trPr>
          <w:trHeight w:val="183"/>
        </w:trPr>
        <w:tc>
          <w:tcPr>
            <w:tcW w:w="9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b w:val="1"/>
                <w:bCs w:val="1"/>
                <w:color w:val="auto"/>
              </w:rPr>
              <w:t>U.S. dollars in thousands</w:t>
            </w:r>
          </w:p>
        </w:tc>
      </w:tr>
      <w:tr>
        <w:trPr>
          <w:trHeight w:val="257"/>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APPENDIX A:</w:t>
            </w: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57"/>
        </w:trPr>
        <w:tc>
          <w:tcPr>
            <w:tcW w:w="9480" w:type="dxa"/>
            <w:vAlign w:val="bottom"/>
            <w:gridSpan w:val="2"/>
          </w:tcPr>
          <w:p>
            <w:pPr>
              <w:ind w:left="180"/>
              <w:spacing w:after="0"/>
              <w:rPr>
                <w:sz w:val="20"/>
                <w:szCs w:val="20"/>
                <w:color w:val="auto"/>
              </w:rPr>
            </w:pPr>
            <w:r>
              <w:rPr>
                <w:rFonts w:ascii="Arial" w:cs="Arial" w:eastAsia="Arial" w:hAnsi="Arial"/>
                <w:sz w:val="18"/>
                <w:szCs w:val="18"/>
                <w:color w:val="auto"/>
              </w:rPr>
              <w:t>Adjustments required to reflect net cash used in operating activities:</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7"/>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2"/>
                <w:szCs w:val="22"/>
                <w:color w:val="auto"/>
              </w:rPr>
            </w:pPr>
          </w:p>
        </w:tc>
      </w:tr>
      <w:tr>
        <w:trPr>
          <w:trHeight w:val="257"/>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(251)</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(4,311)</w:t>
            </w:r>
          </w:p>
        </w:tc>
      </w:tr>
      <w:tr>
        <w:trPr>
          <w:trHeight w:val="257"/>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costs related to preferred shares, convertible loan and warrants</w:t>
            </w:r>
          </w:p>
        </w:tc>
        <w:tc>
          <w:tcPr>
            <w:tcW w:w="1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8"/>
              </w:rPr>
              <w:t>1,091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22"/>
                <w:szCs w:val="22"/>
                <w:color w:val="auto"/>
              </w:rPr>
            </w:pPr>
          </w:p>
        </w:tc>
      </w:tr>
      <w:tr>
        <w:trPr>
          <w:trHeight w:val="257"/>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Financial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2"/>
                <w:szCs w:val="22"/>
                <w:color w:val="auto"/>
              </w:rPr>
            </w:pPr>
          </w:p>
        </w:tc>
      </w:tr>
      <w:tr>
        <w:trPr>
          <w:trHeight w:val="257"/>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changes in severance pay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22"/>
                <w:szCs w:val="22"/>
                <w:color w:val="auto"/>
              </w:rPr>
            </w:pPr>
          </w:p>
        </w:tc>
      </w:tr>
      <w:tr>
        <w:trPr>
          <w:trHeight w:val="264"/>
        </w:trPr>
        <w:tc>
          <w:tcPr>
            <w:tcW w:w="94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4,885</w:t>
            </w:r>
          </w:p>
        </w:tc>
        <w:tc>
          <w:tcPr>
            <w:tcW w:w="7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r>
      <w:tr>
        <w:trPr>
          <w:trHeight w:val="264"/>
        </w:trPr>
        <w:tc>
          <w:tcPr>
            <w:tcW w:w="9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8"/>
              </w:rPr>
              <w:t>5,835</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(2,296)</w:t>
            </w:r>
          </w:p>
        </w:tc>
      </w:tr>
      <w:tr>
        <w:trPr>
          <w:trHeight w:val="257"/>
        </w:trPr>
        <w:tc>
          <w:tcPr>
            <w:tcW w:w="94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Changes in working capital:</w:t>
            </w:r>
          </w:p>
        </w:tc>
        <w:tc>
          <w:tcPr>
            <w:tcW w:w="420" w:type="dxa"/>
            <w:vAlign w:val="bottom"/>
            <w:tcBorders>
              <w:top w:val="single" w:sz="8" w:color="auto"/>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r>
      <w:tr>
        <w:trPr>
          <w:trHeight w:val="257"/>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 in other current assets</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22"/>
                <w:szCs w:val="22"/>
                <w:color w:val="auto"/>
              </w:rPr>
            </w:pPr>
          </w:p>
        </w:tc>
      </w:tr>
      <w:tr>
        <w:trPr>
          <w:trHeight w:val="257"/>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Increase (decrease) in accounts payable:</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7"/>
        </w:trPr>
        <w:tc>
          <w:tcPr>
            <w:tcW w:w="9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Trade</w:t>
            </w:r>
          </w:p>
        </w:tc>
        <w:tc>
          <w:tcPr>
            <w:tcW w:w="1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543</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r>
      <w:tr>
        <w:trPr>
          <w:trHeight w:val="264"/>
        </w:trPr>
        <w:tc>
          <w:tcPr>
            <w:tcW w:w="948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7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r>
      <w:tr>
        <w:trPr>
          <w:trHeight w:val="264"/>
        </w:trPr>
        <w:tc>
          <w:tcPr>
            <w:tcW w:w="9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909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22"/>
                <w:szCs w:val="22"/>
                <w:color w:val="auto"/>
              </w:rPr>
            </w:pPr>
          </w:p>
        </w:tc>
      </w:tr>
      <w:tr>
        <w:trPr>
          <w:trHeight w:val="257"/>
        </w:trPr>
        <w:tc>
          <w:tcPr>
            <w:tcW w:w="94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Cash used for operating activities –</w:t>
            </w:r>
          </w:p>
        </w:tc>
        <w:tc>
          <w:tcPr>
            <w:tcW w:w="420" w:type="dxa"/>
            <w:vAlign w:val="bottom"/>
            <w:tcBorders>
              <w:top w:val="single" w:sz="8" w:color="auto"/>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r>
      <w:tr>
        <w:trPr>
          <w:trHeight w:val="263"/>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(73)</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9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r>
      <w:tr>
        <w:trPr>
          <w:trHeight w:val="257"/>
        </w:trPr>
        <w:tc>
          <w:tcPr>
            <w:tcW w:w="9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6,671</w:t>
            </w:r>
          </w:p>
        </w:tc>
        <w:tc>
          <w:tcPr>
            <w:tcW w:w="760" w:type="dxa"/>
            <w:vAlign w:val="bottom"/>
          </w:tcPr>
          <w:p>
            <w:pPr>
              <w:spacing w:after="0"/>
              <w:rPr>
                <w:sz w:val="22"/>
                <w:szCs w:val="2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(1,943)</w:t>
            </w:r>
          </w:p>
        </w:tc>
      </w:tr>
      <w:tr>
        <w:trPr>
          <w:trHeight w:val="20"/>
        </w:trPr>
        <w:tc>
          <w:tcPr>
            <w:tcW w:w="9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-3172460</wp:posOffset>
            </wp:positionV>
            <wp:extent cx="137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NOT INVOLVING CASH FLOWS: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As to extinguishment and conversion of convertible loans see note 7a2 and 7a3,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to change in conditions of the liability to issue preferred shares and warrants to warrants see note 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7" w:name="page188"/>
    <w:bookmarkEnd w:id="18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198" w:lineRule="exact"/>
        <w:rPr>
          <w:sz w:val="20"/>
          <w:szCs w:val="20"/>
          <w:color w:val="auto"/>
        </w:rPr>
      </w:pPr>
    </w:p>
    <w:p>
      <w:pPr>
        <w:ind w:left="720" w:hanging="352"/>
        <w:spacing w:after="0"/>
        <w:tabs>
          <w:tab w:leader="none" w:pos="7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1080" w:right="780" w:hanging="352"/>
        <w:spacing w:after="0" w:line="302" w:lineRule="auto"/>
        <w:tabs>
          <w:tab w:leader="none" w:pos="10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Entera Bio Ltd. (the “Company”) was incorporated on June 1, 2010. 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 On January 8, 2018, the Company incorporated Entera Bio Inc. a fully owned subsidiary based in the US.</w:t>
      </w:r>
    </w:p>
    <w:p>
      <w:pPr>
        <w:spacing w:after="0" w:line="59" w:lineRule="exact"/>
        <w:rPr>
          <w:rFonts w:ascii="Arial" w:cs="Arial" w:eastAsia="Arial" w:hAnsi="Arial"/>
          <w:sz w:val="16"/>
          <w:szCs w:val="16"/>
          <w:color w:val="auto"/>
        </w:rPr>
      </w:pPr>
    </w:p>
    <w:p>
      <w:pPr>
        <w:jc w:val="both"/>
        <w:ind w:left="1080" w:right="580" w:hanging="352"/>
        <w:spacing w:after="0" w:line="257" w:lineRule="auto"/>
        <w:tabs>
          <w:tab w:leader="none" w:pos="10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Since the Company is engaged in research and development activities, it has not yet derived income from its activity and has incurred through December 31, 2017, accumulated losses in the amount of $41,813 thousand. The Company has cash outflows from operating activities. The Company’s management is of the opinion that its available funds as of December 31, 2017 will not allow the Company to execute its development plans in the upcoming year. These factors raise substantial doubt as to the Company’s ability to continue as a going concern.</w:t>
      </w:r>
    </w:p>
    <w:p>
      <w:pPr>
        <w:spacing w:after="0" w:line="80" w:lineRule="exact"/>
        <w:rPr>
          <w:rFonts w:ascii="Arial" w:cs="Arial" w:eastAsia="Arial" w:hAnsi="Arial"/>
          <w:sz w:val="18"/>
          <w:szCs w:val="18"/>
          <w:color w:val="auto"/>
        </w:rPr>
      </w:pPr>
    </w:p>
    <w:p>
      <w:pPr>
        <w:ind w:left="1080"/>
        <w:spacing w:after="0" w:line="264" w:lineRule="auto"/>
        <w:rPr>
          <w:rFonts w:ascii="Arial" w:cs="Arial" w:eastAsia="Arial" w:hAnsi="Arial"/>
          <w:sz w:val="18"/>
          <w:szCs w:val="18"/>
          <w:color w:val="auto"/>
        </w:rPr>
      </w:pPr>
      <w:r>
        <w:rPr>
          <w:rFonts w:ascii="Arial" w:cs="Arial" w:eastAsia="Arial" w:hAnsi="Arial"/>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73" w:lineRule="exact"/>
        <w:rPr>
          <w:rFonts w:ascii="Arial" w:cs="Arial" w:eastAsia="Arial" w:hAnsi="Arial"/>
          <w:sz w:val="18"/>
          <w:szCs w:val="18"/>
          <w:color w:val="auto"/>
        </w:rPr>
      </w:pPr>
    </w:p>
    <w:p>
      <w:pPr>
        <w:ind w:left="1080" w:right="140"/>
        <w:spacing w:after="0" w:line="259" w:lineRule="auto"/>
        <w:rPr>
          <w:rFonts w:ascii="Arial" w:cs="Arial" w:eastAsia="Arial" w:hAnsi="Arial"/>
          <w:sz w:val="18"/>
          <w:szCs w:val="18"/>
          <w:color w:val="auto"/>
        </w:rPr>
      </w:pPr>
      <w:r>
        <w:rPr>
          <w:rFonts w:ascii="Arial" w:cs="Arial" w:eastAsia="Arial" w:hAnsi="Arial"/>
          <w:sz w:val="18"/>
          <w:szCs w:val="18"/>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operations. These financial statements do not include any adjustments that may be necessary should the Company be unable to continue as a going concern.</w:t>
      </w:r>
    </w:p>
    <w:p>
      <w:pPr>
        <w:spacing w:after="0" w:line="196" w:lineRule="exact"/>
        <w:rPr>
          <w:rFonts w:ascii="Arial" w:cs="Arial" w:eastAsia="Arial" w:hAnsi="Arial"/>
          <w:sz w:val="18"/>
          <w:szCs w:val="18"/>
          <w:color w:val="auto"/>
        </w:rPr>
      </w:pPr>
    </w:p>
    <w:p>
      <w:pPr>
        <w:ind w:left="720" w:hanging="352"/>
        <w:spacing w:after="0"/>
        <w:tabs>
          <w:tab w:leader="none" w:pos="7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10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were approved by the Board of Directors on March 30,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98" w:lineRule="exact"/>
        <w:rPr>
          <w:sz w:val="20"/>
          <w:szCs w:val="20"/>
          <w:color w:val="auto"/>
        </w:rPr>
      </w:pPr>
    </w:p>
    <w:p>
      <w:pPr>
        <w:ind w:left="720" w:hanging="352"/>
        <w:spacing w:after="0"/>
        <w:tabs>
          <w:tab w:leader="none" w:pos="7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the financial statements:</w:t>
      </w:r>
    </w:p>
    <w:p>
      <w:pPr>
        <w:spacing w:after="0" w:line="107" w:lineRule="exact"/>
        <w:rPr>
          <w:rFonts w:ascii="Arial" w:cs="Arial" w:eastAsia="Arial" w:hAnsi="Arial"/>
          <w:sz w:val="18"/>
          <w:szCs w:val="18"/>
          <w:b w:val="1"/>
          <w:bCs w:val="1"/>
          <w:color w:val="auto"/>
        </w:rPr>
      </w:pPr>
    </w:p>
    <w:p>
      <w:pPr>
        <w:ind w:left="720" w:right="60"/>
        <w:spacing w:after="0" w:line="375"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of the Company as of December 31, 2017 and 2016 and for each of the two years then ended have been prepared in accordance with International Financial Reporting Standards, (“IFRS”), as issued by the International Accounting Standards Board (“IASB”). The significant accounting policies described below have been applied consistently in relation to all the periods presented, unless otherwise stated.</w:t>
      </w:r>
    </w:p>
    <w:p>
      <w:pPr>
        <w:spacing w:after="0" w:line="1" w:lineRule="exact"/>
        <w:rPr>
          <w:rFonts w:ascii="Arial" w:cs="Arial" w:eastAsia="Arial" w:hAnsi="Arial"/>
          <w:sz w:val="18"/>
          <w:szCs w:val="18"/>
          <w:b w:val="1"/>
          <w:bCs w:val="1"/>
          <w:color w:val="auto"/>
        </w:rPr>
      </w:pPr>
    </w:p>
    <w:p>
      <w:pPr>
        <w:jc w:val="both"/>
        <w:ind w:left="720" w:right="4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financial statements have been prepared under the historical cost convention, subject to adjustments in respect of revaluation of financial liabilities at fair value through profit or loss. The Company’s financial liabilities at fair value through profit or loss include convertible loans, preferred shares, warrants to preferred shares and shares and liability to issue preferred shares and warrants.</w:t>
      </w:r>
    </w:p>
    <w:p>
      <w:pPr>
        <w:spacing w:after="0" w:line="57" w:lineRule="exact"/>
        <w:rPr>
          <w:rFonts w:ascii="Arial" w:cs="Arial" w:eastAsia="Arial" w:hAnsi="Arial"/>
          <w:sz w:val="18"/>
          <w:szCs w:val="18"/>
          <w:b w:val="1"/>
          <w:bCs w:val="1"/>
          <w:color w:val="auto"/>
        </w:rPr>
      </w:pPr>
    </w:p>
    <w:p>
      <w:pPr>
        <w:ind w:left="7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judgment in the process of applying the Company’s accounting policies. The areas involving a higher degree of judgment or complexity, or areas where assumptions and estimates are significant to the financial statements are disclosed in note 3. Actual results could differ from those estimates and assumptions.</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88" w:name="page189"/>
    <w:bookmarkEnd w:id="18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171" w:lineRule="exact"/>
        <w:rPr>
          <w:sz w:val="20"/>
          <w:szCs w:val="20"/>
          <w:color w:val="auto"/>
        </w:rPr>
      </w:pPr>
    </w:p>
    <w:p>
      <w:pPr>
        <w:ind w:left="720" w:hanging="352"/>
        <w:spacing w:after="0"/>
        <w:tabs>
          <w:tab w:leader="none" w:pos="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80" w:lineRule="exact"/>
        <w:rPr>
          <w:rFonts w:ascii="Arial" w:cs="Arial" w:eastAsia="Arial" w:hAnsi="Arial"/>
          <w:sz w:val="18"/>
          <w:szCs w:val="18"/>
          <w:b w:val="1"/>
          <w:bCs w:val="1"/>
          <w:color w:val="auto"/>
        </w:rPr>
      </w:pPr>
    </w:p>
    <w:p>
      <w:pPr>
        <w:ind w:left="1080" w:hanging="35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Functional and presentation currency</w:t>
      </w:r>
    </w:p>
    <w:p>
      <w:pPr>
        <w:spacing w:after="0" w:line="117" w:lineRule="exact"/>
        <w:rPr>
          <w:rFonts w:ascii="Arial" w:cs="Arial" w:eastAsia="Arial" w:hAnsi="Arial"/>
          <w:sz w:val="18"/>
          <w:szCs w:val="18"/>
          <w:color w:val="auto"/>
        </w:rPr>
      </w:pPr>
    </w:p>
    <w:p>
      <w:pPr>
        <w:jc w:val="both"/>
        <w:ind w:left="1080" w:right="20"/>
        <w:spacing w:after="0" w:line="264" w:lineRule="auto"/>
        <w:rPr>
          <w:rFonts w:ascii="Arial" w:cs="Arial" w:eastAsia="Arial" w:hAnsi="Arial"/>
          <w:sz w:val="18"/>
          <w:szCs w:val="18"/>
          <w:color w:val="auto"/>
        </w:rPr>
      </w:pPr>
      <w:r>
        <w:rPr>
          <w:rFonts w:ascii="Arial" w:cs="Arial" w:eastAsia="Arial" w:hAnsi="Arial"/>
          <w:sz w:val="18"/>
          <w:szCs w:val="18"/>
          <w:color w:val="auto"/>
        </w:rPr>
        <w:t>Items included in the financial statements of the Company are measured using the currency of the primary economic environment in which the entity operates (“the functional currency”). The U.S. dollar is the currency of the primary economic environment in which the operations of the Company is conducted. The financial statements are presented in U.S. dollars.</w:t>
      </w:r>
    </w:p>
    <w:p>
      <w:pPr>
        <w:spacing w:after="0" w:line="73" w:lineRule="exact"/>
        <w:rPr>
          <w:rFonts w:ascii="Arial" w:cs="Arial" w:eastAsia="Arial" w:hAnsi="Arial"/>
          <w:sz w:val="18"/>
          <w:szCs w:val="18"/>
          <w:color w:val="auto"/>
        </w:rPr>
      </w:pPr>
    </w:p>
    <w:p>
      <w:pPr>
        <w:ind w:left="1080" w:hanging="35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Transactions and balances</w:t>
      </w:r>
    </w:p>
    <w:p>
      <w:pPr>
        <w:spacing w:after="0" w:line="117" w:lineRule="exact"/>
        <w:rPr>
          <w:rFonts w:ascii="Arial" w:cs="Arial" w:eastAsia="Arial" w:hAnsi="Arial"/>
          <w:sz w:val="18"/>
          <w:szCs w:val="18"/>
          <w:color w:val="auto"/>
        </w:rPr>
      </w:pPr>
    </w:p>
    <w:p>
      <w:pPr>
        <w:ind w:left="1080" w:right="320"/>
        <w:spacing w:after="0" w:line="259" w:lineRule="auto"/>
        <w:rPr>
          <w:rFonts w:ascii="Arial" w:cs="Arial" w:eastAsia="Arial" w:hAnsi="Arial"/>
          <w:sz w:val="18"/>
          <w:szCs w:val="18"/>
          <w:color w:val="auto"/>
        </w:rPr>
      </w:pPr>
      <w:r>
        <w:rPr>
          <w:rFonts w:ascii="Arial" w:cs="Arial" w:eastAsia="Arial" w:hAnsi="Arial"/>
          <w:sz w:val="18"/>
          <w:szCs w:val="18"/>
          <w:color w:val="auto"/>
        </w:rPr>
        <w:t>Foreign currency transactions are translated into the functional currency using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statements of comprehensive loss within financial income or expenses.</w:t>
      </w:r>
    </w:p>
    <w:p>
      <w:pPr>
        <w:spacing w:after="0" w:line="78" w:lineRule="exact"/>
        <w:rPr>
          <w:rFonts w:ascii="Arial" w:cs="Arial" w:eastAsia="Arial" w:hAnsi="Arial"/>
          <w:sz w:val="18"/>
          <w:szCs w:val="18"/>
          <w:color w:val="auto"/>
        </w:rPr>
      </w:pPr>
    </w:p>
    <w:p>
      <w:pPr>
        <w:ind w:left="1080" w:right="320"/>
        <w:spacing w:after="0" w:line="277" w:lineRule="auto"/>
        <w:rPr>
          <w:rFonts w:ascii="Arial" w:cs="Arial" w:eastAsia="Arial" w:hAnsi="Arial"/>
          <w:sz w:val="18"/>
          <w:szCs w:val="18"/>
          <w:color w:val="auto"/>
        </w:rPr>
      </w:pPr>
      <w:r>
        <w:rPr>
          <w:rFonts w:ascii="Arial" w:cs="Arial" w:eastAsia="Arial" w:hAnsi="Arial"/>
          <w:sz w:val="18"/>
          <w:szCs w:val="18"/>
          <w:color w:val="auto"/>
        </w:rPr>
        <w:t>Translation differences on non-monetary financial assets and liabilities at fair value through profit or loss are recognized in profit or loss as part of the fair value gain or loss within financial income or expenses.</w:t>
      </w:r>
    </w:p>
    <w:p>
      <w:pPr>
        <w:spacing w:after="0" w:line="179" w:lineRule="exact"/>
        <w:rPr>
          <w:rFonts w:ascii="Arial" w:cs="Arial" w:eastAsia="Arial" w:hAnsi="Arial"/>
          <w:sz w:val="18"/>
          <w:szCs w:val="18"/>
          <w:color w:val="auto"/>
        </w:rPr>
      </w:pPr>
    </w:p>
    <w:p>
      <w:pPr>
        <w:ind w:left="720" w:hanging="352"/>
        <w:spacing w:after="0"/>
        <w:tabs>
          <w:tab w:leader="none" w:pos="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07" w:lineRule="exact"/>
        <w:rPr>
          <w:rFonts w:ascii="Arial" w:cs="Arial" w:eastAsia="Arial" w:hAnsi="Arial"/>
          <w:sz w:val="18"/>
          <w:szCs w:val="18"/>
          <w:b w:val="1"/>
          <w:bCs w:val="1"/>
          <w:color w:val="auto"/>
        </w:rPr>
      </w:pPr>
    </w:p>
    <w:p>
      <w:pPr>
        <w:ind w:lef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and short-term bank deposits (with original maturities of three months or less) that are not restricted as to withdrawal or use, and are therefore considered to be cash equivalents.</w:t>
      </w:r>
    </w:p>
    <w:p>
      <w:pPr>
        <w:spacing w:after="0" w:line="166" w:lineRule="exact"/>
        <w:rPr>
          <w:rFonts w:ascii="Arial" w:cs="Arial" w:eastAsia="Arial" w:hAnsi="Arial"/>
          <w:sz w:val="18"/>
          <w:szCs w:val="18"/>
          <w:b w:val="1"/>
          <w:bCs w:val="1"/>
          <w:color w:val="auto"/>
        </w:rPr>
      </w:pPr>
    </w:p>
    <w:p>
      <w:pPr>
        <w:ind w:left="720" w:hanging="352"/>
        <w:spacing w:after="0"/>
        <w:tabs>
          <w:tab w:leader="none" w:pos="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deposits:</w:t>
      </w:r>
    </w:p>
    <w:p>
      <w:pPr>
        <w:spacing w:after="0" w:line="10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Restricted deposits relate to accounts where withdrawals are restricted under contractual agreements.</w:t>
      </w:r>
    </w:p>
    <w:p>
      <w:pPr>
        <w:spacing w:after="0" w:line="221" w:lineRule="exact"/>
        <w:rPr>
          <w:rFonts w:ascii="Arial" w:cs="Arial" w:eastAsia="Arial" w:hAnsi="Arial"/>
          <w:sz w:val="18"/>
          <w:szCs w:val="18"/>
          <w:b w:val="1"/>
          <w:bCs w:val="1"/>
          <w:color w:val="auto"/>
        </w:rPr>
      </w:pPr>
    </w:p>
    <w:p>
      <w:pPr>
        <w:ind w:left="720" w:hanging="352"/>
        <w:spacing w:after="0"/>
        <w:tabs>
          <w:tab w:leader="none" w:pos="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4" w:lineRule="exact"/>
        <w:rPr>
          <w:rFonts w:ascii="Arial" w:cs="Arial" w:eastAsia="Arial" w:hAnsi="Arial"/>
          <w:sz w:val="18"/>
          <w:szCs w:val="18"/>
          <w:b w:val="1"/>
          <w:bCs w:val="1"/>
          <w:color w:val="auto"/>
        </w:rPr>
      </w:pPr>
    </w:p>
    <w:p>
      <w:pPr>
        <w:ind w:left="1080" w:right="1040" w:hanging="352"/>
        <w:spacing w:after="0" w:line="264" w:lineRule="auto"/>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Property and equipment are stated at historical cost less accumulated depreciation and impairment. Historical cost includes expenditures that are directly attributable to the acquisition of the items. Repairs and maintenance are charged to the statement of comprehensive loss during the period in which they are incurred.</w:t>
      </w:r>
    </w:p>
    <w:p>
      <w:pPr>
        <w:spacing w:after="0" w:line="73" w:lineRule="exact"/>
        <w:rPr>
          <w:rFonts w:ascii="Arial" w:cs="Arial" w:eastAsia="Arial" w:hAnsi="Arial"/>
          <w:sz w:val="18"/>
          <w:szCs w:val="18"/>
          <w:color w:val="auto"/>
        </w:rPr>
      </w:pPr>
    </w:p>
    <w:p>
      <w:pPr>
        <w:ind w:left="1080" w:hanging="35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Assets are depreciated using the straight-line method to allocate their cost over their estimated useful lives.</w:t>
      </w:r>
    </w:p>
    <w:p>
      <w:pPr>
        <w:spacing w:after="0" w:line="221" w:lineRule="exact"/>
        <w:rPr>
          <w:rFonts w:ascii="Arial" w:cs="Arial" w:eastAsia="Arial" w:hAnsi="Arial"/>
          <w:sz w:val="18"/>
          <w:szCs w:val="18"/>
          <w:color w:val="auto"/>
        </w:rPr>
      </w:pPr>
    </w:p>
    <w:p>
      <w:pPr>
        <w:ind w:left="720" w:hanging="352"/>
        <w:spacing w:after="0"/>
        <w:tabs>
          <w:tab w:leader="none" w:pos="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4" w:lineRule="exact"/>
        <w:rPr>
          <w:rFonts w:ascii="Arial" w:cs="Arial" w:eastAsia="Arial" w:hAnsi="Arial"/>
          <w:sz w:val="18"/>
          <w:szCs w:val="18"/>
          <w:b w:val="1"/>
          <w:bCs w:val="1"/>
          <w:color w:val="auto"/>
        </w:rPr>
      </w:pPr>
    </w:p>
    <w:p>
      <w:pPr>
        <w:ind w:left="1080" w:hanging="35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rFonts w:ascii="Arial" w:cs="Arial" w:eastAsia="Arial" w:hAnsi="Arial"/>
          <w:sz w:val="18"/>
          <w:szCs w:val="18"/>
          <w:color w:val="auto"/>
        </w:rPr>
      </w:pPr>
    </w:p>
    <w:p>
      <w:pPr>
        <w:ind w:left="1080" w:right="580"/>
        <w:spacing w:after="0" w:line="277" w:lineRule="auto"/>
        <w:rPr>
          <w:rFonts w:ascii="Arial" w:cs="Arial" w:eastAsia="Arial" w:hAnsi="Arial"/>
          <w:sz w:val="18"/>
          <w:szCs w:val="18"/>
          <w:color w:val="auto"/>
        </w:rPr>
      </w:pPr>
      <w:r>
        <w:rPr>
          <w:rFonts w:ascii="Arial" w:cs="Arial" w:eastAsia="Arial" w:hAnsi="Arial"/>
          <w:sz w:val="18"/>
          <w:szCs w:val="18"/>
          <w:color w:val="auto"/>
        </w:rPr>
        <w:t>Research expenses are charged to profit or loss as incurred. An intangible asset arising from development of the Company’s products is recognized if all of the following conditions are met:</w:t>
      </w:r>
    </w:p>
    <w:p>
      <w:pPr>
        <w:spacing w:after="0" w:line="116" w:lineRule="exact"/>
        <w:rPr>
          <w:rFonts w:ascii="Arial" w:cs="Arial" w:eastAsia="Arial" w:hAnsi="Arial"/>
          <w:sz w:val="18"/>
          <w:szCs w:val="18"/>
          <w:color w:val="auto"/>
        </w:rPr>
      </w:pPr>
    </w:p>
    <w:p>
      <w:pPr>
        <w:ind w:left="1440" w:hanging="352"/>
        <w:spacing w:after="0"/>
        <w:tabs>
          <w:tab w:leader="none" w:pos="1440" w:val="left"/>
        </w:tabs>
        <w:numPr>
          <w:ilvl w:val="2"/>
          <w:numId w:val="98"/>
        </w:numPr>
        <w:rPr>
          <w:rFonts w:ascii="Arial" w:cs="Arial" w:eastAsia="Arial" w:hAnsi="Arial"/>
          <w:sz w:val="18"/>
          <w:szCs w:val="18"/>
          <w:color w:val="auto"/>
        </w:rPr>
      </w:pPr>
      <w:r>
        <w:rPr>
          <w:rFonts w:ascii="Arial" w:cs="Arial" w:eastAsia="Arial" w:hAnsi="Arial"/>
          <w:sz w:val="18"/>
          <w:szCs w:val="18"/>
          <w:color w:val="auto"/>
        </w:rPr>
        <w:t>It is technically feasible to complete the intangible asset so that it will be available for use;</w:t>
      </w:r>
    </w:p>
    <w:p>
      <w:pPr>
        <w:spacing w:after="0" w:line="171" w:lineRule="exact"/>
        <w:rPr>
          <w:rFonts w:ascii="Arial" w:cs="Arial" w:eastAsia="Arial" w:hAnsi="Arial"/>
          <w:sz w:val="18"/>
          <w:szCs w:val="18"/>
          <w:color w:val="auto"/>
        </w:rPr>
      </w:pPr>
    </w:p>
    <w:p>
      <w:pPr>
        <w:ind w:left="1440" w:hanging="352"/>
        <w:spacing w:after="0"/>
        <w:tabs>
          <w:tab w:leader="none" w:pos="1440" w:val="left"/>
        </w:tabs>
        <w:numPr>
          <w:ilvl w:val="2"/>
          <w:numId w:val="98"/>
        </w:numPr>
        <w:rPr>
          <w:rFonts w:ascii="Arial" w:cs="Arial" w:eastAsia="Arial" w:hAnsi="Arial"/>
          <w:sz w:val="18"/>
          <w:szCs w:val="18"/>
          <w:color w:val="auto"/>
        </w:rPr>
      </w:pPr>
      <w:r>
        <w:rPr>
          <w:rFonts w:ascii="Arial" w:cs="Arial" w:eastAsia="Arial" w:hAnsi="Arial"/>
          <w:sz w:val="18"/>
          <w:szCs w:val="18"/>
          <w:color w:val="auto"/>
        </w:rPr>
        <w:t>Management intends to complete the intangible asset and use it or sell it;</w:t>
      </w:r>
    </w:p>
    <w:p>
      <w:pPr>
        <w:spacing w:after="0" w:line="171" w:lineRule="exact"/>
        <w:rPr>
          <w:rFonts w:ascii="Arial" w:cs="Arial" w:eastAsia="Arial" w:hAnsi="Arial"/>
          <w:sz w:val="18"/>
          <w:szCs w:val="18"/>
          <w:color w:val="auto"/>
        </w:rPr>
      </w:pPr>
    </w:p>
    <w:p>
      <w:pPr>
        <w:ind w:left="1440" w:hanging="352"/>
        <w:spacing w:after="0"/>
        <w:tabs>
          <w:tab w:leader="none" w:pos="144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There is an ability to use or sell the intangible asset;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9" w:name="page190"/>
    <w:bookmarkEnd w:id="18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162" w:lineRule="exact"/>
        <w:rPr>
          <w:sz w:val="20"/>
          <w:szCs w:val="20"/>
          <w:color w:val="auto"/>
        </w:rPr>
      </w:pPr>
    </w:p>
    <w:p>
      <w:pPr>
        <w:ind w:left="1440" w:hanging="352"/>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It can be demonstrated how the intangible asset will generate probable future economic benefits;</w:t>
      </w:r>
    </w:p>
    <w:p>
      <w:pPr>
        <w:spacing w:after="0" w:line="63" w:lineRule="exact"/>
        <w:rPr>
          <w:rFonts w:ascii="Arial" w:cs="Arial" w:eastAsia="Arial" w:hAnsi="Arial"/>
          <w:sz w:val="18"/>
          <w:szCs w:val="18"/>
          <w:color w:val="auto"/>
        </w:rPr>
      </w:pPr>
    </w:p>
    <w:p>
      <w:pPr>
        <w:ind w:left="1440" w:right="1260" w:hanging="352"/>
        <w:spacing w:after="0" w:line="308" w:lineRule="auto"/>
        <w:tabs>
          <w:tab w:leader="none" w:pos="14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Adequate technical, financial and other resources to complete the development and to use or sell the intangible asset are available; and costs associated with the intangible asset during development can be measured reliably.</w:t>
      </w:r>
    </w:p>
    <w:p>
      <w:pPr>
        <w:spacing w:after="0" w:line="38"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Other development costs that do not meet the above criteria are recognized as expenses as incurred. Development costs previously recognized as an expense are not recognized as an asset in a subsequent period.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the years ended December 31, 2017 and 2016, the Company has not capitalized development costs.</w:t>
      </w:r>
    </w:p>
    <w:p>
      <w:pPr>
        <w:spacing w:after="0" w:line="117" w:lineRule="exact"/>
        <w:rPr>
          <w:sz w:val="20"/>
          <w:szCs w:val="20"/>
          <w:color w:val="auto"/>
        </w:rPr>
      </w:pPr>
    </w:p>
    <w:p>
      <w:pPr>
        <w:ind w:left="1080" w:hanging="352"/>
        <w:spacing w:after="0"/>
        <w:tabs>
          <w:tab w:leader="none" w:pos="10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process research and development (IPR&amp;D)</w:t>
      </w:r>
    </w:p>
    <w:p>
      <w:pPr>
        <w:spacing w:after="0" w:line="117" w:lineRule="exact"/>
        <w:rPr>
          <w:rFonts w:ascii="Arial" w:cs="Arial" w:eastAsia="Arial" w:hAnsi="Arial"/>
          <w:sz w:val="18"/>
          <w:szCs w:val="18"/>
          <w:color w:val="auto"/>
        </w:rPr>
      </w:pPr>
    </w:p>
    <w:p>
      <w:pPr>
        <w:ind w:left="1080" w:right="60"/>
        <w:spacing w:after="0" w:line="277" w:lineRule="auto"/>
        <w:rPr>
          <w:rFonts w:ascii="Arial" w:cs="Arial" w:eastAsia="Arial" w:hAnsi="Arial"/>
          <w:sz w:val="18"/>
          <w:szCs w:val="18"/>
          <w:color w:val="auto"/>
        </w:rPr>
      </w:pPr>
      <w:r>
        <w:rPr>
          <w:rFonts w:ascii="Arial" w:cs="Arial" w:eastAsia="Arial" w:hAnsi="Arial"/>
          <w:sz w:val="18"/>
          <w:szCs w:val="18"/>
          <w:color w:val="auto"/>
        </w:rPr>
        <w:t>IPR&amp;D acquired is presented based on the fair value at the date of the acquisition and is not depreciated during the research and development period. Such assets are tested annually for impairment.</w:t>
      </w:r>
    </w:p>
    <w:p>
      <w:pPr>
        <w:spacing w:after="0" w:line="166" w:lineRule="exact"/>
        <w:rPr>
          <w:rFonts w:ascii="Arial" w:cs="Arial" w:eastAsia="Arial" w:hAnsi="Arial"/>
          <w:sz w:val="18"/>
          <w:szCs w:val="18"/>
          <w:color w:val="auto"/>
        </w:rPr>
      </w:pPr>
    </w:p>
    <w:p>
      <w:pPr>
        <w:ind w:left="720" w:hanging="352"/>
        <w:spacing w:after="0"/>
        <w:tabs>
          <w:tab w:leader="none" w:pos="7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107" w:lineRule="exact"/>
        <w:rPr>
          <w:rFonts w:ascii="Arial" w:cs="Arial" w:eastAsia="Arial" w:hAnsi="Arial"/>
          <w:sz w:val="18"/>
          <w:szCs w:val="18"/>
          <w:b w:val="1"/>
          <w:bCs w:val="1"/>
          <w:color w:val="auto"/>
        </w:rPr>
      </w:pPr>
    </w:p>
    <w:p>
      <w:pPr>
        <w:ind w:left="72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Intangible assets not ready to use are not subject to amortization and are tested annually for impairment. Assets that are subject to depreciation are reviewed for impairment whenever events or changes in circumstances indicate that the carrying amount may not be recoverable. An impairment loss is recognized for the amount by which the asset carrying amount exceeds its recoverable amount. The recoverable amount is the higher of an asset’s fair value less costs to dispose and its value in use. For the purposes of assessing impairment, assets are grouped at the lowest levels for which there are separately identifiable cash flows (cash-generating units).</w:t>
      </w:r>
    </w:p>
    <w:p>
      <w:pPr>
        <w:spacing w:after="0" w:line="64"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For the years ended December 31, 2017 and 2016, no impairment has been recognized.</w:t>
      </w:r>
    </w:p>
    <w:p>
      <w:pPr>
        <w:spacing w:after="0" w:line="234" w:lineRule="exact"/>
        <w:rPr>
          <w:rFonts w:ascii="Arial" w:cs="Arial" w:eastAsia="Arial" w:hAnsi="Arial"/>
          <w:sz w:val="18"/>
          <w:szCs w:val="18"/>
          <w:b w:val="1"/>
          <w:bCs w:val="1"/>
          <w:color w:val="auto"/>
        </w:rPr>
      </w:pPr>
    </w:p>
    <w:p>
      <w:pPr>
        <w:ind w:left="720" w:hanging="352"/>
        <w:spacing w:after="0"/>
        <w:tabs>
          <w:tab w:leader="none" w:pos="7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07" w:lineRule="exact"/>
        <w:rPr>
          <w:rFonts w:ascii="Arial" w:cs="Arial" w:eastAsia="Arial" w:hAnsi="Arial"/>
          <w:sz w:val="18"/>
          <w:szCs w:val="18"/>
          <w:b w:val="1"/>
          <w:bCs w:val="1"/>
          <w:color w:val="auto"/>
        </w:rPr>
      </w:pPr>
    </w:p>
    <w:p>
      <w:pPr>
        <w:ind w:left="720" w:right="5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119" w:lineRule="exact"/>
        <w:rPr>
          <w:rFonts w:ascii="Arial" w:cs="Arial" w:eastAsia="Arial" w:hAnsi="Arial"/>
          <w:sz w:val="18"/>
          <w:szCs w:val="18"/>
          <w:b w:val="1"/>
          <w:bCs w:val="1"/>
          <w:color w:val="auto"/>
        </w:rPr>
      </w:pPr>
    </w:p>
    <w:p>
      <w:pPr>
        <w:ind w:left="720" w:hanging="352"/>
        <w:spacing w:after="0"/>
        <w:tabs>
          <w:tab w:leader="none" w:pos="7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Liabilities:</w:t>
      </w:r>
    </w:p>
    <w:p>
      <w:pPr>
        <w:spacing w:after="0" w:line="80" w:lineRule="exact"/>
        <w:rPr>
          <w:rFonts w:ascii="Arial" w:cs="Arial" w:eastAsia="Arial" w:hAnsi="Arial"/>
          <w:sz w:val="18"/>
          <w:szCs w:val="18"/>
          <w:b w:val="1"/>
          <w:bCs w:val="1"/>
          <w:color w:val="auto"/>
        </w:rPr>
      </w:pPr>
    </w:p>
    <w:p>
      <w:pPr>
        <w:ind w:left="1080" w:hanging="35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Financial liabilities at fair value through profit or loss</w:t>
      </w:r>
    </w:p>
    <w:p>
      <w:pPr>
        <w:spacing w:after="0" w:line="117" w:lineRule="exact"/>
        <w:rPr>
          <w:rFonts w:ascii="Arial" w:cs="Arial" w:eastAsia="Arial" w:hAnsi="Arial"/>
          <w:sz w:val="18"/>
          <w:szCs w:val="18"/>
          <w:color w:val="auto"/>
        </w:rPr>
      </w:pPr>
    </w:p>
    <w:p>
      <w:pPr>
        <w:ind w:left="1080" w:right="20"/>
        <w:spacing w:after="0" w:line="257" w:lineRule="auto"/>
        <w:rPr>
          <w:rFonts w:ascii="Arial" w:cs="Arial" w:eastAsia="Arial" w:hAnsi="Arial"/>
          <w:sz w:val="18"/>
          <w:szCs w:val="18"/>
          <w:color w:val="auto"/>
        </w:rPr>
      </w:pPr>
      <w:r>
        <w:rPr>
          <w:rFonts w:ascii="Arial" w:cs="Arial" w:eastAsia="Arial" w:hAnsi="Arial"/>
          <w:sz w:val="18"/>
          <w:szCs w:val="18"/>
          <w:color w:val="auto"/>
        </w:rPr>
        <w:t>This category includes the Company’s 2016 Convertible Loan, 2012 Convertible Loan (see note 7), preferred shares, warrants to purchase preferred shares and shares and liability to issue preferred shares and warrants (see note 8). The convertible loans and preferred shares are convertible into a variable number of ordinary shares. Gains or losses arising from changes in the fair value of financial liabilities at fair value through profit or loss are presented in the statement of comprehensive loss under “financial income” or “financial expenses”. Transactional costs recorded as an expense when they occur.</w:t>
      </w:r>
    </w:p>
    <w:p>
      <w:pPr>
        <w:spacing w:after="0" w:line="80" w:lineRule="exact"/>
        <w:rPr>
          <w:rFonts w:ascii="Arial" w:cs="Arial" w:eastAsia="Arial" w:hAnsi="Arial"/>
          <w:sz w:val="18"/>
          <w:szCs w:val="18"/>
          <w:color w:val="auto"/>
        </w:rPr>
      </w:pPr>
    </w:p>
    <w:p>
      <w:pPr>
        <w:ind w:left="1080" w:hanging="35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117" w:lineRule="exact"/>
        <w:rPr>
          <w:rFonts w:ascii="Arial" w:cs="Arial" w:eastAsia="Arial" w:hAnsi="Arial"/>
          <w:sz w:val="18"/>
          <w:szCs w:val="18"/>
          <w:color w:val="auto"/>
        </w:rPr>
      </w:pPr>
    </w:p>
    <w:p>
      <w:pPr>
        <w:ind w:left="1080"/>
        <w:spacing w:after="0" w:line="286" w:lineRule="auto"/>
        <w:rPr>
          <w:rFonts w:ascii="Arial" w:cs="Arial" w:eastAsia="Arial" w:hAnsi="Arial"/>
          <w:sz w:val="18"/>
          <w:szCs w:val="18"/>
          <w:color w:val="auto"/>
        </w:rPr>
      </w:pPr>
      <w:r>
        <w:rPr>
          <w:rFonts w:ascii="Arial" w:cs="Arial" w:eastAsia="Arial" w:hAnsi="Arial"/>
          <w:sz w:val="17"/>
          <w:szCs w:val="17"/>
          <w:color w:val="auto"/>
        </w:rPr>
        <w:t>Other financial liabilities, including the 2015 Convertible Loan (see note 7a(2)), are initially measured at fair value. In subsequent periods, the other financial liabilities are measured at amortized cost. Any difference between the consideration (net of transaction costs) and the redemption value is accreted to profit or loss over the term of the liability, using the effective interest method.</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90" w:name="page191"/>
    <w:bookmarkEnd w:id="19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expense is calculated using the effective interest rate method as described in IAS 39 “Financial instruments”.</w:t>
      </w:r>
    </w:p>
    <w:p>
      <w:pPr>
        <w:spacing w:after="0" w:line="117" w:lineRule="exact"/>
        <w:rPr>
          <w:sz w:val="20"/>
          <w:szCs w:val="20"/>
          <w:color w:val="auto"/>
        </w:rPr>
      </w:pPr>
    </w:p>
    <w:p>
      <w:pPr>
        <w:ind w:left="1080" w:right="120"/>
        <w:spacing w:after="0" w:line="277" w:lineRule="auto"/>
        <w:rPr>
          <w:sz w:val="20"/>
          <w:szCs w:val="20"/>
          <w:color w:val="auto"/>
        </w:rPr>
      </w:pPr>
      <w:r>
        <w:rPr>
          <w:rFonts w:ascii="Arial" w:cs="Arial" w:eastAsia="Arial" w:hAnsi="Arial"/>
          <w:sz w:val="18"/>
          <w:szCs w:val="18"/>
          <w:color w:val="auto"/>
        </w:rPr>
        <w:t>Financial liabilities are classified as current liabilities, unless the Company has an unconditional right to defer settlement of the liability for at least 12 months after the end of the reporting period, in which case they are classified as noncurrent liabilities.</w:t>
      </w:r>
    </w:p>
    <w:p>
      <w:pPr>
        <w:spacing w:after="0" w:line="166" w:lineRule="exact"/>
        <w:rPr>
          <w:sz w:val="20"/>
          <w:szCs w:val="20"/>
          <w:color w:val="auto"/>
        </w:rPr>
      </w:pPr>
    </w:p>
    <w:p>
      <w:pPr>
        <w:ind w:left="720" w:hanging="352"/>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07" w:lineRule="exact"/>
        <w:rPr>
          <w:rFonts w:ascii="Arial" w:cs="Arial" w:eastAsia="Arial" w:hAnsi="Arial"/>
          <w:sz w:val="18"/>
          <w:szCs w:val="18"/>
          <w:b w:val="1"/>
          <w:bCs w:val="1"/>
          <w:color w:val="auto"/>
        </w:rPr>
      </w:pPr>
    </w:p>
    <w:p>
      <w:pPr>
        <w:ind w:left="72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Ordinary shares are classified as equity. Incremental costs directly attributable to the issue of new shares are included in equity as a deduction from the proceeds.</w:t>
      </w:r>
    </w:p>
    <w:p>
      <w:pPr>
        <w:spacing w:after="0" w:line="179" w:lineRule="exact"/>
        <w:rPr>
          <w:rFonts w:ascii="Arial" w:cs="Arial" w:eastAsia="Arial" w:hAnsi="Arial"/>
          <w:sz w:val="18"/>
          <w:szCs w:val="18"/>
          <w:b w:val="1"/>
          <w:bCs w:val="1"/>
          <w:color w:val="auto"/>
        </w:rPr>
      </w:pPr>
    </w:p>
    <w:p>
      <w:pPr>
        <w:ind w:left="720" w:hanging="352"/>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107" w:lineRule="exact"/>
        <w:rPr>
          <w:rFonts w:ascii="Arial" w:cs="Arial" w:eastAsia="Arial" w:hAnsi="Arial"/>
          <w:sz w:val="18"/>
          <w:szCs w:val="18"/>
          <w:b w:val="1"/>
          <w:bCs w:val="1"/>
          <w:color w:val="auto"/>
        </w:rPr>
      </w:pPr>
    </w:p>
    <w:p>
      <w:pPr>
        <w:ind w:left="72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income taxes are recognized using the liability method on temporary differences arising between the tax bases of assets and liabilities and their carrying amounts in the financial statements. Deferred income tax assets are recognized only to the extent that it is probable that future taxable income will be available against which the temporary differences can be utilized. Deferred income tax is determined using tax rates and laws that have been enacted or substantively enacted by the balance sheet date and are expected to apply when the related deferred income tax asset is realized or the deferred income tax liability is settled.</w:t>
      </w:r>
    </w:p>
    <w:p>
      <w:pPr>
        <w:spacing w:after="0" w:line="80"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In the absence of expectation of taxable income in the future, no deferred tax assets are recorded in the financial statements.</w:t>
      </w:r>
    </w:p>
    <w:p>
      <w:pPr>
        <w:spacing w:after="0" w:line="221" w:lineRule="exact"/>
        <w:rPr>
          <w:rFonts w:ascii="Arial" w:cs="Arial" w:eastAsia="Arial" w:hAnsi="Arial"/>
          <w:sz w:val="18"/>
          <w:szCs w:val="18"/>
          <w:b w:val="1"/>
          <w:bCs w:val="1"/>
          <w:color w:val="auto"/>
        </w:rPr>
      </w:pPr>
    </w:p>
    <w:p>
      <w:pPr>
        <w:ind w:left="720" w:hanging="352"/>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107" w:lineRule="exact"/>
        <w:rPr>
          <w:rFonts w:ascii="Arial" w:cs="Arial" w:eastAsia="Arial" w:hAnsi="Arial"/>
          <w:sz w:val="18"/>
          <w:szCs w:val="18"/>
          <w:b w:val="1"/>
          <w:bCs w:val="1"/>
          <w:color w:val="auto"/>
        </w:rPr>
      </w:pPr>
    </w:p>
    <w:p>
      <w:pPr>
        <w:ind w:left="7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adopted a share-based compensation plan for employees, directors and service providers. As part of the plan, the Company grants employees, directors and service providers, from time to time and at its discretion, options to purchase Company’s ordinary shares. The fair value of the employees’, directors’ and service providers’ services received in exchange for the grant of the options is recognized as an expense in the statement of comprehensive loss. The total amount recognized as an expense over the vesting period of the options was determined by reference to the fair value of the options granted at the date of grant.</w:t>
      </w:r>
    </w:p>
    <w:p>
      <w:pPr>
        <w:spacing w:after="0" w:line="80" w:lineRule="exact"/>
        <w:rPr>
          <w:rFonts w:ascii="Arial" w:cs="Arial" w:eastAsia="Arial" w:hAnsi="Arial"/>
          <w:sz w:val="18"/>
          <w:szCs w:val="18"/>
          <w:b w:val="1"/>
          <w:bCs w:val="1"/>
          <w:color w:val="auto"/>
        </w:rPr>
      </w:pPr>
    </w:p>
    <w:p>
      <w:pPr>
        <w:ind w:left="7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Service conditions and performance vesting conditions are included in assumptions about the number of options that are expected to vest. The total expense is recognized over the vesting period when the performance condition is probable. The vesting period is the period over which all of the specified vesting conditions are to be satisfied.</w:t>
      </w:r>
    </w:p>
    <w:p>
      <w:pPr>
        <w:spacing w:after="0" w:line="73" w:lineRule="exact"/>
        <w:rPr>
          <w:rFonts w:ascii="Arial" w:cs="Arial" w:eastAsia="Arial" w:hAnsi="Arial"/>
          <w:sz w:val="18"/>
          <w:szCs w:val="18"/>
          <w:b w:val="1"/>
          <w:bCs w:val="1"/>
          <w:color w:val="auto"/>
        </w:rPr>
      </w:pPr>
    </w:p>
    <w:p>
      <w:pPr>
        <w:ind w:left="72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the end of each reporting period, the Company revises its estimates of the number of options that are expected to vest based on the service conditions and performance conditions. The Company recognizes the impact of the revision to original estimates, if any, in the statement of comprehensive loss, with a corresponding adjustment to “other reserves”.</w:t>
      </w:r>
    </w:p>
    <w:p>
      <w:pPr>
        <w:spacing w:after="0" w:line="73" w:lineRule="exact"/>
        <w:rPr>
          <w:rFonts w:ascii="Arial" w:cs="Arial" w:eastAsia="Arial" w:hAnsi="Arial"/>
          <w:sz w:val="18"/>
          <w:szCs w:val="18"/>
          <w:b w:val="1"/>
          <w:bCs w:val="1"/>
          <w:color w:val="auto"/>
        </w:rPr>
      </w:pPr>
    </w:p>
    <w:p>
      <w:pPr>
        <w:ind w:left="72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When options are exercised, the Company issues new shares, with proceeds less directly attributable transaction costs recognized as share capital (par value) and additional paid in capital.</w:t>
      </w:r>
    </w:p>
    <w:p>
      <w:pPr>
        <w:spacing w:after="0" w:line="166" w:lineRule="exact"/>
        <w:rPr>
          <w:rFonts w:ascii="Arial" w:cs="Arial" w:eastAsia="Arial" w:hAnsi="Arial"/>
          <w:sz w:val="18"/>
          <w:szCs w:val="18"/>
          <w:b w:val="1"/>
          <w:bCs w:val="1"/>
          <w:color w:val="auto"/>
        </w:rPr>
      </w:pPr>
    </w:p>
    <w:p>
      <w:pPr>
        <w:ind w:left="720" w:hanging="352"/>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grants</w:t>
      </w:r>
    </w:p>
    <w:p>
      <w:pPr>
        <w:spacing w:after="0" w:line="107" w:lineRule="exact"/>
        <w:rPr>
          <w:rFonts w:ascii="Arial" w:cs="Arial" w:eastAsia="Arial" w:hAnsi="Arial"/>
          <w:sz w:val="18"/>
          <w:szCs w:val="18"/>
          <w:b w:val="1"/>
          <w:bCs w:val="1"/>
          <w:color w:val="auto"/>
        </w:rPr>
      </w:pPr>
    </w:p>
    <w:p>
      <w:pPr>
        <w:ind w:left="72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Government grants, which are received from Israel Innovation Authority (the “IIA”) by way of participation in research and development that is conducted by the Company, fall within the scope of “forgivable loans”, as set forth in International Accounting Standard Number 20 “The Accounting Treatment of Government Grants and Disclosure in respect of Government Assistance” (“IAS 20”). Since at the time of the receipt of the grants there is no reasonable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1" w:name="page192"/>
    <w:bookmarkEnd w:id="19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2" w:lineRule="exact"/>
        <w:rPr>
          <w:sz w:val="20"/>
          <w:szCs w:val="20"/>
          <w:color w:val="auto"/>
        </w:rPr>
      </w:pPr>
    </w:p>
    <w:p>
      <w:pPr>
        <w:ind w:left="720" w:right="120"/>
        <w:spacing w:after="0" w:line="259" w:lineRule="auto"/>
        <w:rPr>
          <w:sz w:val="20"/>
          <w:szCs w:val="20"/>
          <w:color w:val="auto"/>
        </w:rPr>
      </w:pPr>
      <w:r>
        <w:rPr>
          <w:rFonts w:ascii="Arial" w:cs="Arial" w:eastAsia="Arial" w:hAnsi="Arial"/>
          <w:sz w:val="18"/>
          <w:szCs w:val="18"/>
          <w:color w:val="auto"/>
        </w:rPr>
        <w:t>assurance that the grants that have been received will be repaid, at the time of their receipt they are offset against the related research and development expenses in the statement of comprehensive loss. To the extent that it will be considered “more likely than not” that the grants will be repaid in the future, the Company would record a financial liability. To date, the Company has not recorded government grants as a financial liability.</w:t>
      </w:r>
    </w:p>
    <w:p>
      <w:pPr>
        <w:spacing w:after="0" w:line="183" w:lineRule="exact"/>
        <w:rPr>
          <w:sz w:val="20"/>
          <w:szCs w:val="20"/>
          <w:color w:val="auto"/>
        </w:rPr>
      </w:pPr>
    </w:p>
    <w:p>
      <w:pPr>
        <w:ind w:left="720" w:hanging="352"/>
        <w:spacing w:after="0"/>
        <w:tabs>
          <w:tab w:leader="none" w:pos="7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107" w:lineRule="exact"/>
        <w:rPr>
          <w:rFonts w:ascii="Arial" w:cs="Arial" w:eastAsia="Arial" w:hAnsi="Arial"/>
          <w:sz w:val="18"/>
          <w:szCs w:val="18"/>
          <w:b w:val="1"/>
          <w:bCs w:val="1"/>
          <w:color w:val="auto"/>
        </w:rPr>
      </w:pPr>
    </w:p>
    <w:p>
      <w:pPr>
        <w:ind w:left="72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by dividing the loss attributable to equity holders of the Company by the weighted average number of ordinary shares issued and outstanding during the year. In computing diluted loss per share, basic loss per share are adjusted to take into account the potential dilution that could occur upon the conversion of the dilutive series of convertible debentures and preferred stock, and warrants, by subtracting from net loss fair value changes of such financial instruments, and by adjusting the weighted average number of outstanding ordinary shares, assuming conversion of all such dilutive potential shares. The Company’s dilutive potential shares consist of shares issuable upon conversion of convertible loan and preferred shares, warrants and options. Potential shares are only dilutive if their conversion would increase the loss per share. If the loss per share would decrease, the shares are anti-dilutive and are excluded from the diluted loss per share calculation.</w:t>
      </w:r>
    </w:p>
    <w:p>
      <w:pPr>
        <w:spacing w:after="0" w:line="176" w:lineRule="exact"/>
        <w:rPr>
          <w:rFonts w:ascii="Arial" w:cs="Arial" w:eastAsia="Arial" w:hAnsi="Arial"/>
          <w:sz w:val="18"/>
          <w:szCs w:val="18"/>
          <w:b w:val="1"/>
          <w:bCs w:val="1"/>
          <w:color w:val="auto"/>
        </w:rPr>
      </w:pPr>
    </w:p>
    <w:p>
      <w:pPr>
        <w:ind w:left="720" w:hanging="352"/>
        <w:spacing w:after="0"/>
        <w:tabs>
          <w:tab w:leader="none" w:pos="7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amendments to standards or interpretations</w:t>
      </w:r>
    </w:p>
    <w:p>
      <w:pPr>
        <w:spacing w:after="0" w:line="10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6"/>
          <w:szCs w:val="16"/>
          <w:color w:val="auto"/>
        </w:rPr>
        <w:t>The following new standards, amendments to standards or interpretations have been issued, but are not effective, and have not been early adopted:</w:t>
      </w:r>
    </w:p>
    <w:p>
      <w:pPr>
        <w:spacing w:after="0" w:line="153" w:lineRule="exact"/>
        <w:rPr>
          <w:rFonts w:ascii="Arial" w:cs="Arial" w:eastAsia="Arial" w:hAnsi="Arial"/>
          <w:sz w:val="18"/>
          <w:szCs w:val="18"/>
          <w:b w:val="1"/>
          <w:bCs w:val="1"/>
          <w:color w:val="auto"/>
        </w:rPr>
      </w:pPr>
    </w:p>
    <w:p>
      <w:pPr>
        <w:ind w:left="1080" w:hanging="352"/>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IFRS 9, “Financial Instruments”</w:t>
      </w:r>
    </w:p>
    <w:p>
      <w:pPr>
        <w:spacing w:after="0" w:line="117" w:lineRule="exact"/>
        <w:rPr>
          <w:rFonts w:ascii="Arial" w:cs="Arial" w:eastAsia="Arial" w:hAnsi="Arial"/>
          <w:sz w:val="18"/>
          <w:szCs w:val="18"/>
          <w:color w:val="auto"/>
        </w:rPr>
      </w:pPr>
    </w:p>
    <w:p>
      <w:pPr>
        <w:ind w:left="1080"/>
        <w:spacing w:after="0" w:line="270" w:lineRule="auto"/>
        <w:rPr>
          <w:rFonts w:ascii="Arial" w:cs="Arial" w:eastAsia="Arial" w:hAnsi="Arial"/>
          <w:sz w:val="18"/>
          <w:szCs w:val="18"/>
          <w:color w:val="auto"/>
        </w:rPr>
      </w:pPr>
      <w:r>
        <w:rPr>
          <w:rFonts w:ascii="Arial" w:cs="Arial" w:eastAsia="Arial" w:hAnsi="Arial"/>
          <w:sz w:val="17"/>
          <w:szCs w:val="17"/>
          <w:color w:val="auto"/>
        </w:rPr>
        <w:t>The complete version of IFRS 9 replaces most of the guidance in IAS 39. IFRS 9 retains but simplifies the mixed measurement model and establishes three primary measurement categories for financial assets: amortized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for liabilities designated at fair value through profit or loss. The standard is effective for accounting periods beginning on or after January 1, 2018. The implementation of this standard is expected to have no material impact on the financial statements.</w:t>
      </w:r>
    </w:p>
    <w:p>
      <w:pPr>
        <w:spacing w:after="0" w:line="87" w:lineRule="exact"/>
        <w:rPr>
          <w:rFonts w:ascii="Arial" w:cs="Arial" w:eastAsia="Arial" w:hAnsi="Arial"/>
          <w:sz w:val="18"/>
          <w:szCs w:val="18"/>
          <w:color w:val="auto"/>
        </w:rPr>
      </w:pPr>
    </w:p>
    <w:p>
      <w:pPr>
        <w:ind w:left="1080" w:hanging="352"/>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IFRS 16, “Leases”</w:t>
      </w:r>
    </w:p>
    <w:p>
      <w:pPr>
        <w:spacing w:after="0" w:line="117" w:lineRule="exact"/>
        <w:rPr>
          <w:rFonts w:ascii="Arial" w:cs="Arial" w:eastAsia="Arial" w:hAnsi="Arial"/>
          <w:sz w:val="18"/>
          <w:szCs w:val="18"/>
          <w:color w:val="auto"/>
        </w:rPr>
      </w:pPr>
    </w:p>
    <w:p>
      <w:pPr>
        <w:ind w:left="1080" w:right="40"/>
        <w:spacing w:after="0" w:line="293" w:lineRule="auto"/>
        <w:rPr>
          <w:rFonts w:ascii="Arial" w:cs="Arial" w:eastAsia="Arial" w:hAnsi="Arial"/>
          <w:sz w:val="18"/>
          <w:szCs w:val="18"/>
          <w:color w:val="auto"/>
        </w:rPr>
      </w:pPr>
      <w:r>
        <w:rPr>
          <w:rFonts w:ascii="Arial" w:cs="Arial" w:eastAsia="Arial" w:hAnsi="Arial"/>
          <w:sz w:val="16"/>
          <w:szCs w:val="16"/>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leased assets separately from interest on lease liabilities in the income statement. As IFRS 16 substantially carries forward the lessor accounting requirements in IAS 17, a lessor will continue to classify its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2" w:name="page193"/>
    <w:bookmarkEnd w:id="19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2" w:lineRule="exact"/>
        <w:rPr>
          <w:sz w:val="20"/>
          <w:szCs w:val="20"/>
          <w:color w:val="auto"/>
        </w:rPr>
      </w:pPr>
    </w:p>
    <w:p>
      <w:pPr>
        <w:jc w:val="both"/>
        <w:ind w:left="1080" w:right="160"/>
        <w:spacing w:after="0" w:line="264" w:lineRule="auto"/>
        <w:rPr>
          <w:sz w:val="20"/>
          <w:szCs w:val="20"/>
          <w:color w:val="auto"/>
        </w:rPr>
      </w:pPr>
      <w:r>
        <w:rPr>
          <w:rFonts w:ascii="Arial" w:cs="Arial" w:eastAsia="Arial" w:hAnsi="Arial"/>
          <w:sz w:val="18"/>
          <w:szCs w:val="18"/>
          <w:color w:val="auto"/>
        </w:rPr>
        <w:t>leases as operating leases or finance leases and to account for those two types of leases differently. IFRS 16 is effective from January 1, 2019 with early adoption allowed only if IFRS 15, Revenue from Contracts with Customers, is also applied. The Company is currently evaluating the impact of adoption on its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CRITICAL ACCOUNTING ESTIMATES AND JUDGEMENTS</w:t>
      </w:r>
    </w:p>
    <w:p>
      <w:pPr>
        <w:spacing w:after="0" w:line="108" w:lineRule="exact"/>
        <w:rPr>
          <w:sz w:val="20"/>
          <w:szCs w:val="20"/>
          <w:color w:val="auto"/>
        </w:rPr>
      </w:pPr>
    </w:p>
    <w:p>
      <w:pPr>
        <w:ind w:left="360" w:right="140"/>
        <w:spacing w:after="0" w:line="277"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circumstances.</w:t>
      </w:r>
    </w:p>
    <w:p>
      <w:pPr>
        <w:spacing w:after="0" w:line="62"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The Company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Share-based payment</w:t>
      </w:r>
    </w:p>
    <w:p>
      <w:pPr>
        <w:spacing w:after="0" w:line="108" w:lineRule="exact"/>
        <w:rPr>
          <w:sz w:val="20"/>
          <w:szCs w:val="20"/>
          <w:color w:val="auto"/>
        </w:rPr>
      </w:pPr>
    </w:p>
    <w:p>
      <w:pPr>
        <w:jc w:val="both"/>
        <w:ind w:left="360" w:right="120"/>
        <w:spacing w:after="0" w:line="264" w:lineRule="auto"/>
        <w:rPr>
          <w:sz w:val="20"/>
          <w:szCs w:val="20"/>
          <w:color w:val="auto"/>
        </w:rPr>
      </w:pPr>
      <w:r>
        <w:rPr>
          <w:rFonts w:ascii="Arial" w:cs="Arial" w:eastAsia="Arial" w:hAnsi="Arial"/>
          <w:sz w:val="18"/>
          <w:szCs w:val="18"/>
          <w:color w:val="auto"/>
        </w:rPr>
        <w:t>With respect to grants to employees, service providers and directors, the value of the labor services received in return is measured on the date of grant, based on the fair value of the equity instruments granted to the employees and directors. In order to measure the fair value of the labor service received, the Company uses the Black-Scholes model to value the equity instrument. See also note 10b.</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 of financial liabilities at fair value through profit or loss</w:t>
      </w:r>
    </w:p>
    <w:p>
      <w:pPr>
        <w:spacing w:after="0" w:line="108" w:lineRule="exact"/>
        <w:rPr>
          <w:sz w:val="20"/>
          <w:szCs w:val="20"/>
          <w:color w:val="auto"/>
        </w:rPr>
      </w:pPr>
    </w:p>
    <w:p>
      <w:pPr>
        <w:ind w:left="360" w:right="20"/>
        <w:spacing w:after="0" w:line="279" w:lineRule="auto"/>
        <w:rPr>
          <w:sz w:val="20"/>
          <w:szCs w:val="20"/>
          <w:color w:val="auto"/>
        </w:rPr>
      </w:pPr>
      <w:r>
        <w:rPr>
          <w:rFonts w:ascii="Arial" w:cs="Arial" w:eastAsia="Arial" w:hAnsi="Arial"/>
          <w:sz w:val="17"/>
          <w:szCs w:val="17"/>
          <w:color w:val="auto"/>
        </w:rPr>
        <w:t>To determine the fair value of the 2016 Convertible Loan, 2012 Convertible Loan, preferred shares, warrants to purchase preferred shares and shares and liability to issue preferred shares and warrants, the Company uses its judgment to select a variety of methods and make assumptions that are mainly based on market conditions existing at the end of each reporting period. The estimated fair value of these financial liabilities might have been different had Company’s management used different estimates and assumptions. See also note 7 and 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198" w:lineRule="exact"/>
        <w:rPr>
          <w:sz w:val="20"/>
          <w:szCs w:val="20"/>
          <w:color w:val="auto"/>
        </w:rPr>
      </w:pPr>
    </w:p>
    <w:p>
      <w:pPr>
        <w:ind w:left="720" w:hanging="352"/>
        <w:spacing w:after="0"/>
        <w:tabs>
          <w:tab w:leader="none" w:pos="7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107" w:lineRule="exact"/>
        <w:rPr>
          <w:rFonts w:ascii="Arial" w:cs="Arial" w:eastAsia="Arial" w:hAnsi="Arial"/>
          <w:sz w:val="18"/>
          <w:szCs w:val="18"/>
          <w:b w:val="1"/>
          <w:bCs w:val="1"/>
          <w:color w:val="auto"/>
        </w:rPr>
      </w:pPr>
    </w:p>
    <w:p>
      <w:pPr>
        <w:ind w:left="1080" w:hanging="35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Financial risk factors</w:t>
      </w:r>
    </w:p>
    <w:p>
      <w:pPr>
        <w:spacing w:after="0" w:line="117" w:lineRule="exact"/>
        <w:rPr>
          <w:rFonts w:ascii="Arial" w:cs="Arial" w:eastAsia="Arial" w:hAnsi="Arial"/>
          <w:sz w:val="18"/>
          <w:szCs w:val="18"/>
          <w:color w:val="auto"/>
        </w:rPr>
      </w:pPr>
    </w:p>
    <w:p>
      <w:pPr>
        <w:ind w:left="1080" w:right="880"/>
        <w:spacing w:after="0" w:line="342" w:lineRule="auto"/>
        <w:rPr>
          <w:rFonts w:ascii="Arial" w:cs="Arial" w:eastAsia="Arial" w:hAnsi="Arial"/>
          <w:sz w:val="18"/>
          <w:szCs w:val="18"/>
          <w:color w:val="auto"/>
        </w:rPr>
      </w:pPr>
      <w:r>
        <w:rPr>
          <w:rFonts w:ascii="Arial" w:cs="Arial" w:eastAsia="Arial" w:hAnsi="Arial"/>
          <w:sz w:val="16"/>
          <w:szCs w:val="16"/>
          <w:color w:val="auto"/>
        </w:rPr>
        <w:t>The Company’s activities expose it to a variety of financial risks. The Company’s overall risk management program focuses on the unpredictability of financial markets and seeks to minimize potential adverse effects on the Company’s financial performance.</w:t>
      </w:r>
    </w:p>
    <w:p>
      <w:pPr>
        <w:spacing w:after="0" w:line="15" w:lineRule="exact"/>
        <w:rPr>
          <w:rFonts w:ascii="Arial" w:cs="Arial" w:eastAsia="Arial" w:hAnsi="Arial"/>
          <w:sz w:val="18"/>
          <w:szCs w:val="18"/>
          <w:color w:val="auto"/>
        </w:rPr>
      </w:pPr>
    </w:p>
    <w:p>
      <w:pPr>
        <w:ind w:left="1080" w:right="860"/>
        <w:spacing w:after="0" w:line="277" w:lineRule="auto"/>
        <w:rPr>
          <w:rFonts w:ascii="Arial" w:cs="Arial" w:eastAsia="Arial" w:hAnsi="Arial"/>
          <w:sz w:val="18"/>
          <w:szCs w:val="18"/>
          <w:color w:val="auto"/>
        </w:rPr>
      </w:pPr>
      <w:r>
        <w:rPr>
          <w:rFonts w:ascii="Arial" w:cs="Arial" w:eastAsia="Arial" w:hAnsi="Arial"/>
          <w:sz w:val="18"/>
          <w:szCs w:val="18"/>
          <w:color w:val="auto"/>
        </w:rPr>
        <w:t>Risk management is performed by the Chief Financial Officer of the Company, who identifies and evaluates financial risks in close cooperation with the Company’s Chief Executive Officer.</w:t>
      </w:r>
    </w:p>
    <w:p>
      <w:pPr>
        <w:spacing w:after="0" w:line="62"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The Company does not use financial instruments for hedging activity.</w:t>
      </w:r>
    </w:p>
    <w:p>
      <w:pPr>
        <w:spacing w:after="0" w:line="130" w:lineRule="exact"/>
        <w:rPr>
          <w:rFonts w:ascii="Arial" w:cs="Arial" w:eastAsia="Arial" w:hAnsi="Arial"/>
          <w:sz w:val="18"/>
          <w:szCs w:val="18"/>
          <w:color w:val="auto"/>
        </w:rPr>
      </w:pPr>
    </w:p>
    <w:p>
      <w:pPr>
        <w:ind w:left="1080" w:hanging="35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17" w:lineRule="exact"/>
        <w:rPr>
          <w:rFonts w:ascii="Arial" w:cs="Arial" w:eastAsia="Arial" w:hAnsi="Arial"/>
          <w:sz w:val="18"/>
          <w:szCs w:val="18"/>
          <w:color w:val="auto"/>
        </w:rPr>
      </w:pPr>
    </w:p>
    <w:p>
      <w:pPr>
        <w:jc w:val="both"/>
        <w:ind w:left="1080" w:right="180"/>
        <w:spacing w:after="0" w:line="312" w:lineRule="auto"/>
        <w:rPr>
          <w:rFonts w:ascii="Arial" w:cs="Arial" w:eastAsia="Arial" w:hAnsi="Arial"/>
          <w:sz w:val="18"/>
          <w:szCs w:val="18"/>
          <w:color w:val="auto"/>
        </w:rPr>
      </w:pPr>
      <w:r>
        <w:rPr>
          <w:rFonts w:ascii="Arial" w:cs="Arial" w:eastAsia="Arial" w:hAnsi="Arial"/>
          <w:sz w:val="16"/>
          <w:szCs w:val="16"/>
          <w:color w:val="auto"/>
        </w:rPr>
        <w:t>Credit and interest risk arises from cash and cash equivalents and deposits with banks. A portion of the liquid instruments of the Company is invested in short-term deposits in leading Israeli banks. The Company estimates that since the liquid instruments are mainly invested for the short-term and with a highly-rated institution, the credit and interest risk associated with these balances is immaterial.</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3" w:name="page194"/>
    <w:bookmarkEnd w:id="19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 (continued)</w:t>
      </w:r>
    </w:p>
    <w:p>
      <w:pPr>
        <w:spacing w:after="0" w:line="162" w:lineRule="exact"/>
        <w:rPr>
          <w:sz w:val="20"/>
          <w:szCs w:val="20"/>
          <w:color w:val="auto"/>
        </w:rPr>
      </w:pPr>
    </w:p>
    <w:p>
      <w:pPr>
        <w:ind w:left="1080" w:hanging="35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Prudent liquidity risk management implies maintaining sufficient cash.</w:t>
      </w:r>
    </w:p>
    <w:p>
      <w:pPr>
        <w:spacing w:after="0" w:line="117" w:lineRule="exact"/>
        <w:rPr>
          <w:rFonts w:ascii="Arial" w:cs="Arial" w:eastAsia="Arial" w:hAnsi="Arial"/>
          <w:sz w:val="18"/>
          <w:szCs w:val="18"/>
          <w:color w:val="auto"/>
        </w:rPr>
      </w:pPr>
    </w:p>
    <w:p>
      <w:pPr>
        <w:ind w:left="1080" w:right="1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 a research stage and has not yet generated revenues. It is therefore exposed to liquidity risk, taking into consideration the forecasts of cash flows required to finance its investments and other activities.</w:t>
      </w:r>
    </w:p>
    <w:p>
      <w:pPr>
        <w:spacing w:after="0" w:line="116" w:lineRule="exact"/>
        <w:rPr>
          <w:rFonts w:ascii="Arial" w:cs="Arial" w:eastAsia="Arial" w:hAnsi="Arial"/>
          <w:sz w:val="18"/>
          <w:szCs w:val="18"/>
          <w:color w:val="auto"/>
        </w:rPr>
      </w:pPr>
    </w:p>
    <w:p>
      <w:pPr>
        <w:ind w:left="1080" w:hanging="35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Market risk — Foreign exchange risk</w:t>
      </w:r>
    </w:p>
    <w:p>
      <w:pPr>
        <w:spacing w:after="0" w:line="117" w:lineRule="exact"/>
        <w:rPr>
          <w:rFonts w:ascii="Arial" w:cs="Arial" w:eastAsia="Arial" w:hAnsi="Arial"/>
          <w:sz w:val="18"/>
          <w:szCs w:val="18"/>
          <w:color w:val="auto"/>
        </w:rPr>
      </w:pPr>
    </w:p>
    <w:p>
      <w:pPr>
        <w:ind w:left="1080" w:right="60"/>
        <w:spacing w:after="0" w:line="312" w:lineRule="auto"/>
        <w:rPr>
          <w:rFonts w:ascii="Arial" w:cs="Arial" w:eastAsia="Arial" w:hAnsi="Arial"/>
          <w:sz w:val="18"/>
          <w:szCs w:val="18"/>
          <w:color w:val="auto"/>
        </w:rPr>
      </w:pPr>
      <w:r>
        <w:rPr>
          <w:rFonts w:ascii="Arial" w:cs="Arial" w:eastAsia="Arial" w:hAnsi="Arial"/>
          <w:sz w:val="16"/>
          <w:szCs w:val="16"/>
          <w:color w:val="auto"/>
        </w:rPr>
        <w:t>The Company might be exposed to foreign exchange risk as a result of making payments to employees or service providers and investment of some liquidity in currencies other than the Company’s functional currency. The Company manages the foreign exchange risk by aligning the currencies for holding liquidity with the currencies of expected expenses, based on the expected cash flows of the Company.</w:t>
      </w:r>
    </w:p>
    <w:p>
      <w:pPr>
        <w:spacing w:after="0" w:line="156"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07" w:lineRule="exact"/>
        <w:rPr>
          <w:rFonts w:ascii="Arial" w:cs="Arial" w:eastAsia="Arial" w:hAnsi="Arial"/>
          <w:sz w:val="18"/>
          <w:szCs w:val="18"/>
          <w:b w:val="1"/>
          <w:bCs w:val="1"/>
          <w:color w:val="auto"/>
        </w:rPr>
      </w:pPr>
    </w:p>
    <w:p>
      <w:pPr>
        <w:jc w:val="both"/>
        <w:ind w:left="7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objectives when managing capital are to safeguard the Company’s ability to continue as a going concern in order to provide returns for shareholders and to maintain an optimal capital structure to reduce the cost of capital. It should be noted that the Company is in the research and development stage and has not yet generated revenues.</w:t>
      </w:r>
    </w:p>
    <w:p>
      <w:pPr>
        <w:spacing w:after="0" w:line="177" w:lineRule="exact"/>
        <w:rPr>
          <w:rFonts w:ascii="Arial" w:cs="Arial" w:eastAsia="Arial" w:hAnsi="Arial"/>
          <w:sz w:val="18"/>
          <w:szCs w:val="18"/>
          <w:b w:val="1"/>
          <w:bCs w:val="1"/>
          <w:color w:val="auto"/>
        </w:rPr>
      </w:pPr>
    </w:p>
    <w:p>
      <w:pPr>
        <w:ind w:left="720" w:hanging="352"/>
        <w:spacing w:after="0"/>
        <w:tabs>
          <w:tab w:leader="none" w:pos="7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different levels of valuation of financial instruments are defined as follows:</w:t>
      </w:r>
    </w:p>
    <w:p>
      <w:pPr>
        <w:spacing w:after="0" w:line="171"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Level 1  Quoted prices (unadjusted) in active markets for identical assets or liabilities.</w:t>
      </w:r>
    </w:p>
    <w:p>
      <w:pPr>
        <w:spacing w:after="0" w:line="171" w:lineRule="exact"/>
        <w:rPr>
          <w:rFonts w:ascii="Arial" w:cs="Arial" w:eastAsia="Arial" w:hAnsi="Arial"/>
          <w:sz w:val="18"/>
          <w:szCs w:val="18"/>
          <w:b w:val="1"/>
          <w:bCs w:val="1"/>
          <w:color w:val="auto"/>
        </w:rPr>
      </w:pPr>
    </w:p>
    <w:p>
      <w:pPr>
        <w:ind w:left="1440" w:right="760" w:hanging="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 Inputs, other than quoted prices included within level 1 that are observable for the asset or liability, either directly (as prices) or indirectly (derived from prices).</w:t>
      </w:r>
    </w:p>
    <w:p>
      <w:pPr>
        <w:spacing w:after="0" w:line="116"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11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6"/>
          <w:szCs w:val="16"/>
          <w:color w:val="auto"/>
        </w:rPr>
        <w:t>The fair value of financial instruments traded in active markets is based on quoted market prices at the dates of the statements of financial position.</w:t>
      </w:r>
    </w:p>
    <w:p>
      <w:pPr>
        <w:spacing w:after="0" w:line="140" w:lineRule="exact"/>
        <w:rPr>
          <w:rFonts w:ascii="Arial" w:cs="Arial" w:eastAsia="Arial" w:hAnsi="Arial"/>
          <w:sz w:val="18"/>
          <w:szCs w:val="18"/>
          <w:b w:val="1"/>
          <w:bCs w:val="1"/>
          <w:color w:val="auto"/>
        </w:rPr>
      </w:pPr>
    </w:p>
    <w:p>
      <w:pPr>
        <w:jc w:val="both"/>
        <w:ind w:left="7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73" w:lineRule="exact"/>
        <w:rPr>
          <w:rFonts w:ascii="Arial" w:cs="Arial" w:eastAsia="Arial" w:hAnsi="Arial"/>
          <w:sz w:val="18"/>
          <w:szCs w:val="18"/>
          <w:b w:val="1"/>
          <w:bCs w:val="1"/>
          <w:color w:val="auto"/>
        </w:rPr>
      </w:pPr>
    </w:p>
    <w:p>
      <w:pPr>
        <w:jc w:val="both"/>
        <w:ind w:left="720" w:righ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w:t>
      </w:r>
    </w:p>
    <w:p>
      <w:pPr>
        <w:spacing w:after="0" w:line="5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If one or more of the significant inputs is not based on observable market data, the instrument is included in level 3.</w:t>
      </w:r>
    </w:p>
    <w:p>
      <w:pPr>
        <w:spacing w:after="0" w:line="117" w:lineRule="exact"/>
        <w:rPr>
          <w:rFonts w:ascii="Arial" w:cs="Arial" w:eastAsia="Arial" w:hAnsi="Arial"/>
          <w:sz w:val="18"/>
          <w:szCs w:val="18"/>
          <w:b w:val="1"/>
          <w:bCs w:val="1"/>
          <w:color w:val="auto"/>
        </w:rPr>
      </w:pPr>
    </w:p>
    <w:p>
      <w:pPr>
        <w:ind w:left="7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and 2016, the fair value of certain financial instruments (cash and cash equivalents, restricted deposits, other receivables and accounts payable) approximates their carrying value.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94" w:name="page195"/>
    <w:bookmarkEnd w:id="19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 (continued)</w:t>
      </w:r>
    </w:p>
    <w:p>
      <w:pPr>
        <w:spacing w:after="0" w:line="171" w:lineRule="exact"/>
        <w:rPr>
          <w:sz w:val="20"/>
          <w:szCs w:val="20"/>
          <w:color w:val="auto"/>
        </w:rPr>
      </w:pPr>
    </w:p>
    <w:p>
      <w:pPr>
        <w:ind w:left="720" w:hanging="352"/>
        <w:spacing w:after="0"/>
        <w:tabs>
          <w:tab w:leader="none" w:pos="7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of financial instruments by groups: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Loans and</w:t>
            </w:r>
          </w:p>
        </w:tc>
      </w:tr>
      <w:tr>
        <w:trPr>
          <w:trHeight w:val="186"/>
        </w:trPr>
        <w:tc>
          <w:tcPr>
            <w:tcW w:w="988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receivables</w:t>
            </w:r>
          </w:p>
        </w:tc>
      </w:tr>
      <w:tr>
        <w:trPr>
          <w:trHeight w:val="26"/>
        </w:trPr>
        <w:tc>
          <w:tcPr>
            <w:tcW w:w="98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173"/>
        </w:trPr>
        <w:tc>
          <w:tcPr>
            <w:tcW w:w="988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U.S. dollars</w:t>
            </w:r>
          </w:p>
        </w:tc>
      </w:tr>
      <w:tr>
        <w:trPr>
          <w:trHeight w:val="185"/>
        </w:trPr>
        <w:tc>
          <w:tcPr>
            <w:tcW w:w="988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r>
      <w:tr>
        <w:trPr>
          <w:trHeight w:val="257"/>
        </w:trPr>
        <w:tc>
          <w:tcPr>
            <w:tcW w:w="98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As of December 31, 2017:</w:t>
            </w: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57"/>
        </w:trPr>
        <w:tc>
          <w:tcPr>
            <w:tcW w:w="988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11,746</w:t>
            </w:r>
          </w:p>
        </w:tc>
        <w:tc>
          <w:tcPr>
            <w:tcW w:w="520" w:type="dxa"/>
            <w:vAlign w:val="bottom"/>
          </w:tcPr>
          <w:p>
            <w:pPr>
              <w:spacing w:after="0"/>
              <w:rPr>
                <w:sz w:val="22"/>
                <w:szCs w:val="22"/>
                <w:color w:val="auto"/>
              </w:rPr>
            </w:pPr>
          </w:p>
        </w:tc>
      </w:tr>
      <w:tr>
        <w:trPr>
          <w:trHeight w:val="264"/>
        </w:trPr>
        <w:tc>
          <w:tcPr>
            <w:tcW w:w="9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Receivables (excluding prepaid expenses)</w:t>
            </w: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20" w:type="dxa"/>
            <w:vAlign w:val="bottom"/>
            <w:tcBorders>
              <w:bottom w:val="single" w:sz="8" w:color="CCEEFF"/>
            </w:tcBorders>
            <w:shd w:val="clear" w:color="auto" w:fill="CCEEFF"/>
          </w:tcPr>
          <w:p>
            <w:pPr>
              <w:spacing w:after="0"/>
              <w:rPr>
                <w:sz w:val="22"/>
                <w:szCs w:val="22"/>
                <w:color w:val="auto"/>
              </w:rPr>
            </w:pPr>
          </w:p>
        </w:tc>
      </w:tr>
      <w:tr>
        <w:trPr>
          <w:trHeight w:val="304"/>
        </w:trPr>
        <w:tc>
          <w:tcPr>
            <w:tcW w:w="98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11,928</w:t>
            </w:r>
          </w:p>
        </w:tc>
        <w:tc>
          <w:tcPr>
            <w:tcW w:w="520" w:type="dxa"/>
            <w:vAlign w:val="bottom"/>
          </w:tcPr>
          <w:p>
            <w:pPr>
              <w:spacing w:after="0"/>
              <w:rPr>
                <w:sz w:val="24"/>
                <w:szCs w:val="24"/>
                <w:color w:val="auto"/>
              </w:rPr>
            </w:pPr>
          </w:p>
        </w:tc>
      </w:tr>
      <w:tr>
        <w:trPr>
          <w:trHeight w:val="203"/>
        </w:trPr>
        <w:tc>
          <w:tcPr>
            <w:tcW w:w="9880" w:type="dxa"/>
            <w:vAlign w:val="bottom"/>
            <w:tcBorders>
              <w:top w:val="single" w:sz="8" w:color="CCEEFF"/>
            </w:tcBorders>
            <w:shd w:val="clear" w:color="auto" w:fill="CCEEFF"/>
          </w:tcPr>
          <w:p>
            <w:pPr>
              <w:ind w:left="540"/>
              <w:spacing w:after="0" w:line="203" w:lineRule="exact"/>
              <w:rPr>
                <w:sz w:val="20"/>
                <w:szCs w:val="20"/>
                <w:color w:val="auto"/>
              </w:rPr>
            </w:pPr>
            <w:r>
              <w:rPr>
                <w:rFonts w:ascii="Arial" w:cs="Arial" w:eastAsia="Arial" w:hAnsi="Arial"/>
                <w:sz w:val="18"/>
                <w:szCs w:val="18"/>
                <w:b w:val="1"/>
                <w:bCs w:val="1"/>
                <w:color w:val="auto"/>
              </w:rPr>
              <w:t>As of December 31, 2016:</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r>
      <w:tr>
        <w:trPr>
          <w:trHeight w:val="257"/>
        </w:trPr>
        <w:tc>
          <w:tcPr>
            <w:tcW w:w="988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4,163</w:t>
            </w:r>
          </w:p>
        </w:tc>
      </w:tr>
      <w:tr>
        <w:trPr>
          <w:trHeight w:val="257"/>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Restricted deposits</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1,075</w:t>
            </w:r>
          </w:p>
        </w:tc>
      </w:tr>
      <w:tr>
        <w:trPr>
          <w:trHeight w:val="264"/>
        </w:trPr>
        <w:tc>
          <w:tcPr>
            <w:tcW w:w="98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Receivables (excluding prepaid expenses)</w:t>
            </w:r>
          </w:p>
        </w:tc>
        <w:tc>
          <w:tcPr>
            <w:tcW w:w="5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520" w:type="dxa"/>
            <w:vAlign w:val="bottom"/>
            <w:tcBorders>
              <w:bottom w:val="single" w:sz="8" w:color="CCEEFF"/>
            </w:tcBorders>
          </w:tcPr>
          <w:p>
            <w:pPr>
              <w:spacing w:after="0"/>
              <w:rPr>
                <w:sz w:val="22"/>
                <w:szCs w:val="22"/>
                <w:color w:val="auto"/>
              </w:rPr>
            </w:pPr>
          </w:p>
        </w:tc>
      </w:tr>
      <w:tr>
        <w:trPr>
          <w:trHeight w:val="257"/>
        </w:trPr>
        <w:tc>
          <w:tcPr>
            <w:tcW w:w="988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5,395</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5"/>
              </w:rPr>
              <w:t>Financial</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6"/>
              </w:rPr>
              <w:t>liabilities at fair</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Financial</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2"/>
              </w:rPr>
              <w:t>value through</w:t>
            </w: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liabilities at</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1"/>
              </w:rPr>
              <w:t>profit or loss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amortized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6"/>
        </w:trPr>
        <w:tc>
          <w:tcPr>
            <w:tcW w:w="48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500" w:type="dxa"/>
            <w:vAlign w:val="bottom"/>
          </w:tcPr>
          <w:p>
            <w:pPr>
              <w:spacing w:after="0"/>
              <w:rPr>
                <w:sz w:val="16"/>
                <w:szCs w:val="16"/>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cost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6"/>
        </w:trPr>
        <w:tc>
          <w:tcPr>
            <w:tcW w:w="48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3"/>
        </w:trPr>
        <w:tc>
          <w:tcPr>
            <w:tcW w:w="48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U.S. dollars in thousands</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65"/>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As of December 31, 2017:</w:t>
            </w:r>
          </w:p>
        </w:tc>
        <w:tc>
          <w:tcPr>
            <w:tcW w:w="26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257"/>
        </w:trPr>
        <w:tc>
          <w:tcPr>
            <w:tcW w:w="4880" w:type="dxa"/>
            <w:vAlign w:val="bottom"/>
          </w:tcPr>
          <w:p>
            <w:pPr>
              <w:ind w:left="720"/>
              <w:spacing w:after="0"/>
              <w:rPr>
                <w:sz w:val="20"/>
                <w:szCs w:val="20"/>
                <w:color w:val="auto"/>
              </w:rPr>
            </w:pPr>
            <w:r>
              <w:rPr>
                <w:rFonts w:ascii="Arial" w:cs="Arial" w:eastAsia="Arial" w:hAnsi="Arial"/>
                <w:sz w:val="18"/>
                <w:szCs w:val="18"/>
                <w:color w:val="auto"/>
              </w:rPr>
              <w:t>Trade and other payable</w:t>
            </w:r>
          </w:p>
        </w:tc>
        <w:tc>
          <w:tcPr>
            <w:tcW w:w="2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2,020</w:t>
            </w:r>
          </w:p>
        </w:tc>
        <w:tc>
          <w:tcPr>
            <w:tcW w:w="500" w:type="dxa"/>
            <w:vAlign w:val="bottom"/>
          </w:tcPr>
          <w:p>
            <w:pPr>
              <w:jc w:val="right"/>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2"/>
                <w:szCs w:val="22"/>
                <w:color w:val="auto"/>
              </w:rPr>
            </w:pPr>
          </w:p>
        </w:tc>
      </w:tr>
      <w:tr>
        <w:trPr>
          <w:trHeight w:val="257"/>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loan</w:t>
            </w:r>
          </w:p>
        </w:tc>
        <w:tc>
          <w:tcPr>
            <w:tcW w:w="3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5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380" w:type="dxa"/>
            <w:vAlign w:val="bottom"/>
            <w:shd w:val="clear" w:color="auto" w:fill="CCEEFF"/>
          </w:tcPr>
          <w:p>
            <w:pPr>
              <w:spacing w:after="0"/>
              <w:rPr>
                <w:sz w:val="22"/>
                <w:szCs w:val="22"/>
                <w:color w:val="auto"/>
              </w:rPr>
            </w:pPr>
          </w:p>
        </w:tc>
      </w:tr>
      <w:tr>
        <w:trPr>
          <w:trHeight w:val="257"/>
        </w:trPr>
        <w:tc>
          <w:tcPr>
            <w:tcW w:w="4880" w:type="dxa"/>
            <w:vAlign w:val="bottom"/>
          </w:tcPr>
          <w:p>
            <w:pPr>
              <w:ind w:left="720"/>
              <w:spacing w:after="0"/>
              <w:rPr>
                <w:sz w:val="20"/>
                <w:szCs w:val="20"/>
                <w:color w:val="auto"/>
              </w:rPr>
            </w:pPr>
            <w:r>
              <w:rPr>
                <w:rFonts w:ascii="Arial" w:cs="Arial" w:eastAsia="Arial" w:hAnsi="Arial"/>
                <w:sz w:val="18"/>
                <w:szCs w:val="18"/>
                <w:color w:val="auto"/>
              </w:rPr>
              <w:t>Preferred shares</w:t>
            </w:r>
          </w:p>
        </w:tc>
        <w:tc>
          <w:tcPr>
            <w:tcW w:w="4180" w:type="dxa"/>
            <w:vAlign w:val="bottom"/>
            <w:gridSpan w:val="4"/>
          </w:tcPr>
          <w:p>
            <w:pPr>
              <w:jc w:val="right"/>
              <w:ind w:right="488"/>
              <w:spacing w:after="0"/>
              <w:rPr>
                <w:sz w:val="20"/>
                <w:szCs w:val="20"/>
                <w:color w:val="auto"/>
              </w:rPr>
            </w:pPr>
            <w:r>
              <w:rPr>
                <w:rFonts w:ascii="Arial" w:cs="Arial" w:eastAsia="Arial" w:hAnsi="Arial"/>
                <w:sz w:val="18"/>
                <w:szCs w:val="18"/>
                <w:color w:val="auto"/>
              </w:rPr>
              <w:t>33,455</w:t>
            </w:r>
          </w:p>
        </w:tc>
        <w:tc>
          <w:tcPr>
            <w:tcW w:w="500" w:type="dxa"/>
            <w:vAlign w:val="bottom"/>
          </w:tcPr>
          <w:p>
            <w:pPr>
              <w:spacing w:after="0"/>
              <w:rPr>
                <w:sz w:val="22"/>
                <w:szCs w:val="22"/>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33,455</w:t>
            </w:r>
          </w:p>
        </w:tc>
      </w:tr>
      <w:tr>
        <w:trPr>
          <w:trHeight w:val="264"/>
        </w:trPr>
        <w:tc>
          <w:tcPr>
            <w:tcW w:w="4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Warrants to purchase preferred shares and shares</w:t>
            </w:r>
          </w:p>
        </w:tc>
        <w:tc>
          <w:tcPr>
            <w:tcW w:w="312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5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304"/>
        </w:trPr>
        <w:tc>
          <w:tcPr>
            <w:tcW w:w="4880" w:type="dxa"/>
            <w:vAlign w:val="bottom"/>
          </w:tcPr>
          <w:p>
            <w:pPr>
              <w:spacing w:after="0"/>
              <w:rPr>
                <w:sz w:val="24"/>
                <w:szCs w:val="24"/>
                <w:color w:val="auto"/>
              </w:rPr>
            </w:pPr>
          </w:p>
        </w:tc>
        <w:tc>
          <w:tcPr>
            <w:tcW w:w="4180" w:type="dxa"/>
            <w:vAlign w:val="bottom"/>
            <w:gridSpan w:val="4"/>
          </w:tcPr>
          <w:p>
            <w:pPr>
              <w:jc w:val="right"/>
              <w:ind w:right="488"/>
              <w:spacing w:after="0"/>
              <w:rPr>
                <w:sz w:val="20"/>
                <w:szCs w:val="20"/>
                <w:color w:val="auto"/>
              </w:rPr>
            </w:pPr>
            <w:r>
              <w:rPr>
                <w:rFonts w:ascii="Arial" w:cs="Arial" w:eastAsia="Arial" w:hAnsi="Arial"/>
                <w:sz w:val="18"/>
                <w:szCs w:val="18"/>
                <w:color w:val="auto"/>
              </w:rPr>
              <w:t>42,746</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2,020</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44,766</w:t>
            </w:r>
          </w:p>
        </w:tc>
      </w:tr>
      <w:tr>
        <w:trPr>
          <w:trHeight w:val="311"/>
        </w:trPr>
        <w:tc>
          <w:tcPr>
            <w:tcW w:w="48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As of December 31, 2016:</w:t>
            </w:r>
          </w:p>
        </w:tc>
        <w:tc>
          <w:tcPr>
            <w:tcW w:w="26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r>
      <w:tr>
        <w:trPr>
          <w:trHeight w:val="257"/>
        </w:trPr>
        <w:tc>
          <w:tcPr>
            <w:tcW w:w="4880" w:type="dxa"/>
            <w:vAlign w:val="bottom"/>
          </w:tcPr>
          <w:p>
            <w:pPr>
              <w:ind w:left="720"/>
              <w:spacing w:after="0"/>
              <w:rPr>
                <w:sz w:val="20"/>
                <w:szCs w:val="20"/>
                <w:color w:val="auto"/>
              </w:rPr>
            </w:pPr>
            <w:r>
              <w:rPr>
                <w:rFonts w:ascii="Arial" w:cs="Arial" w:eastAsia="Arial" w:hAnsi="Arial"/>
                <w:sz w:val="18"/>
                <w:szCs w:val="18"/>
                <w:color w:val="auto"/>
              </w:rPr>
              <w:t>Trade and other payable</w:t>
            </w:r>
          </w:p>
        </w:tc>
        <w:tc>
          <w:tcPr>
            <w:tcW w:w="2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657</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657</w:t>
            </w:r>
          </w:p>
        </w:tc>
      </w:tr>
      <w:tr>
        <w:trPr>
          <w:trHeight w:val="257"/>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loans</w:t>
            </w:r>
          </w:p>
        </w:tc>
        <w:tc>
          <w:tcPr>
            <w:tcW w:w="4180" w:type="dxa"/>
            <w:vAlign w:val="bottom"/>
            <w:gridSpan w:val="4"/>
            <w:shd w:val="clear" w:color="auto" w:fill="CCEEFF"/>
          </w:tcPr>
          <w:p>
            <w:pPr>
              <w:jc w:val="right"/>
              <w:ind w:right="488"/>
              <w:spacing w:after="0"/>
              <w:rPr>
                <w:sz w:val="20"/>
                <w:szCs w:val="20"/>
                <w:color w:val="auto"/>
              </w:rPr>
            </w:pPr>
            <w:r>
              <w:rPr>
                <w:rFonts w:ascii="Arial" w:cs="Arial" w:eastAsia="Arial" w:hAnsi="Arial"/>
                <w:sz w:val="18"/>
                <w:szCs w:val="18"/>
                <w:color w:val="auto"/>
              </w:rPr>
              <w:t>13,715</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14,720</w:t>
            </w:r>
          </w:p>
        </w:tc>
      </w:tr>
      <w:tr>
        <w:trPr>
          <w:trHeight w:val="257"/>
        </w:trPr>
        <w:tc>
          <w:tcPr>
            <w:tcW w:w="4880" w:type="dxa"/>
            <w:vAlign w:val="bottom"/>
          </w:tcPr>
          <w:p>
            <w:pPr>
              <w:ind w:left="720"/>
              <w:spacing w:after="0"/>
              <w:rPr>
                <w:sz w:val="20"/>
                <w:szCs w:val="20"/>
                <w:color w:val="auto"/>
              </w:rPr>
            </w:pPr>
            <w:r>
              <w:rPr>
                <w:rFonts w:ascii="Arial" w:cs="Arial" w:eastAsia="Arial" w:hAnsi="Arial"/>
                <w:sz w:val="18"/>
                <w:szCs w:val="18"/>
                <w:color w:val="auto"/>
              </w:rPr>
              <w:t>Preferred shares</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11,031</w:t>
            </w: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11,031</w:t>
            </w:r>
          </w:p>
        </w:tc>
        <w:tc>
          <w:tcPr>
            <w:tcW w:w="380" w:type="dxa"/>
            <w:vAlign w:val="bottom"/>
          </w:tcPr>
          <w:p>
            <w:pPr>
              <w:spacing w:after="0"/>
              <w:rPr>
                <w:sz w:val="22"/>
                <w:szCs w:val="22"/>
                <w:color w:val="auto"/>
              </w:rPr>
            </w:pPr>
          </w:p>
        </w:tc>
      </w:tr>
      <w:tr>
        <w:trPr>
          <w:trHeight w:val="257"/>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Warrants to purchase preferred shares and shares</w:t>
            </w:r>
          </w:p>
        </w:tc>
        <w:tc>
          <w:tcPr>
            <w:tcW w:w="3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5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380" w:type="dxa"/>
            <w:vAlign w:val="bottom"/>
            <w:shd w:val="clear" w:color="auto" w:fill="CCEEFF"/>
          </w:tcPr>
          <w:p>
            <w:pPr>
              <w:spacing w:after="0"/>
              <w:rPr>
                <w:sz w:val="22"/>
                <w:szCs w:val="22"/>
                <w:color w:val="auto"/>
              </w:rPr>
            </w:pPr>
          </w:p>
        </w:tc>
      </w:tr>
      <w:tr>
        <w:trPr>
          <w:trHeight w:val="263"/>
        </w:trPr>
        <w:tc>
          <w:tcPr>
            <w:tcW w:w="4880" w:type="dxa"/>
            <w:vAlign w:val="bottom"/>
          </w:tcPr>
          <w:p>
            <w:pPr>
              <w:ind w:left="720"/>
              <w:spacing w:after="0"/>
              <w:rPr>
                <w:sz w:val="20"/>
                <w:szCs w:val="20"/>
                <w:color w:val="auto"/>
              </w:rPr>
            </w:pPr>
            <w:r>
              <w:rPr>
                <w:rFonts w:ascii="Arial" w:cs="Arial" w:eastAsia="Arial" w:hAnsi="Arial"/>
                <w:sz w:val="18"/>
                <w:szCs w:val="18"/>
                <w:color w:val="auto"/>
              </w:rPr>
              <w:t>Liability to issue preferred shares and warrants</w:t>
            </w:r>
          </w:p>
        </w:tc>
        <w:tc>
          <w:tcPr>
            <w:tcW w:w="3120" w:type="dxa"/>
            <w:vAlign w:val="bottom"/>
            <w:gridSpan w:val="2"/>
          </w:tcPr>
          <w:p>
            <w:pPr>
              <w:spacing w:after="0"/>
              <w:rPr>
                <w:sz w:val="22"/>
                <w:szCs w:val="22"/>
                <w:color w:val="auto"/>
              </w:rPr>
            </w:pPr>
          </w:p>
        </w:tc>
        <w:tc>
          <w:tcPr>
            <w:tcW w:w="1060" w:type="dxa"/>
            <w:vAlign w:val="bottom"/>
            <w:gridSpan w:val="2"/>
          </w:tcPr>
          <w:p>
            <w:pPr>
              <w:jc w:val="right"/>
              <w:ind w:right="488"/>
              <w:spacing w:after="0"/>
              <w:rPr>
                <w:sz w:val="20"/>
                <w:szCs w:val="20"/>
                <w:color w:val="auto"/>
              </w:rPr>
            </w:pPr>
            <w:r>
              <w:rPr>
                <w:rFonts w:ascii="Arial" w:cs="Arial" w:eastAsia="Arial" w:hAnsi="Arial"/>
                <w:sz w:val="18"/>
                <w:szCs w:val="18"/>
                <w:color w:val="auto"/>
              </w:rPr>
              <w:t>273</w:t>
            </w:r>
          </w:p>
        </w:tc>
        <w:tc>
          <w:tcPr>
            <w:tcW w:w="500" w:type="dxa"/>
            <w:vAlign w:val="bottom"/>
          </w:tcPr>
          <w:p>
            <w:pPr>
              <w:spacing w:after="0"/>
              <w:rPr>
                <w:sz w:val="22"/>
                <w:szCs w:val="22"/>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273</w:t>
            </w:r>
          </w:p>
        </w:tc>
      </w:tr>
      <w:tr>
        <w:trPr>
          <w:trHeight w:val="20"/>
        </w:trPr>
        <w:tc>
          <w:tcPr>
            <w:tcW w:w="4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57"/>
        </w:trPr>
        <w:tc>
          <w:tcPr>
            <w:tcW w:w="4880" w:type="dxa"/>
            <w:vAlign w:val="bottom"/>
            <w:shd w:val="clear" w:color="auto" w:fill="CCEEFF"/>
          </w:tcPr>
          <w:p>
            <w:pPr>
              <w:spacing w:after="0"/>
              <w:rPr>
                <w:sz w:val="22"/>
                <w:szCs w:val="22"/>
                <w:color w:val="auto"/>
              </w:rPr>
            </w:pPr>
          </w:p>
        </w:tc>
        <w:tc>
          <w:tcPr>
            <w:tcW w:w="3120" w:type="dxa"/>
            <w:vAlign w:val="bottom"/>
            <w:gridSpan w:val="2"/>
            <w:shd w:val="clear" w:color="auto" w:fill="CCEEFF"/>
          </w:tcPr>
          <w:p>
            <w:pPr>
              <w:spacing w:after="0"/>
              <w:rPr>
                <w:sz w:val="22"/>
                <w:szCs w:val="22"/>
                <w:color w:val="auto"/>
              </w:rPr>
            </w:pP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7"/>
              </w:rPr>
              <w:t>29,819</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1,662</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31,481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r>
        <w:trPr>
          <w:trHeight w:val="521"/>
        </w:trPr>
        <w:tc>
          <w:tcPr>
            <w:tcW w:w="4880" w:type="dxa"/>
            <w:vAlign w:val="bottom"/>
          </w:tcPr>
          <w:p>
            <w:pPr>
              <w:spacing w:after="0"/>
              <w:rPr>
                <w:sz w:val="24"/>
                <w:szCs w:val="24"/>
                <w:color w:val="auto"/>
              </w:rPr>
            </w:pPr>
          </w:p>
        </w:tc>
        <w:tc>
          <w:tcPr>
            <w:tcW w:w="4180" w:type="dxa"/>
            <w:vAlign w:val="bottom"/>
            <w:gridSpan w:val="4"/>
          </w:tcPr>
          <w:p>
            <w:pPr>
              <w:jc w:val="right"/>
              <w:ind w:right="3108"/>
              <w:spacing w:after="0"/>
              <w:rPr>
                <w:sz w:val="20"/>
                <w:szCs w:val="20"/>
                <w:color w:val="auto"/>
              </w:rPr>
            </w:pPr>
            <w:r>
              <w:rPr>
                <w:rFonts w:ascii="Arial" w:cs="Arial" w:eastAsia="Arial" w:hAnsi="Arial"/>
                <w:sz w:val="18"/>
                <w:szCs w:val="18"/>
                <w:color w:val="auto"/>
              </w:rPr>
              <w:t>F-15</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85"/>
        </w:trPr>
        <w:tc>
          <w:tcPr>
            <w:tcW w:w="48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7011670</wp:posOffset>
            </wp:positionH>
            <wp:positionV relativeFrom="paragraph">
              <wp:posOffset>-796925</wp:posOffset>
            </wp:positionV>
            <wp:extent cx="2400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66890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-3052445</wp:posOffset>
            </wp:positionV>
            <wp:extent cx="137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-3052445</wp:posOffset>
            </wp:positionV>
            <wp:extent cx="137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5" w:name="page196"/>
    <w:bookmarkEnd w:id="19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AND CASH EQUIVALENTS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9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8"/>
        </w:trPr>
        <w:tc>
          <w:tcPr>
            <w:tcW w:w="9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r>
      <w:tr>
        <w:trPr>
          <w:trHeight w:val="26"/>
        </w:trPr>
        <w:tc>
          <w:tcPr>
            <w:tcW w:w="9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r>
      <w:tr>
        <w:trPr>
          <w:trHeight w:val="183"/>
        </w:trPr>
        <w:tc>
          <w:tcPr>
            <w:tcW w:w="9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U.S. dollars in thousands</w:t>
            </w:r>
          </w:p>
        </w:tc>
      </w:tr>
      <w:tr>
        <w:trPr>
          <w:trHeight w:val="257"/>
        </w:trPr>
        <w:tc>
          <w:tcPr>
            <w:tcW w:w="9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Cash in bank</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7"/>
              </w:rPr>
              <w:t>11,741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4,159</w:t>
            </w:r>
          </w:p>
        </w:tc>
      </w:tr>
      <w:tr>
        <w:trPr>
          <w:trHeight w:val="263"/>
        </w:trPr>
        <w:tc>
          <w:tcPr>
            <w:tcW w:w="9440" w:type="dxa"/>
            <w:vAlign w:val="bottom"/>
            <w:gridSpan w:val="2"/>
          </w:tcPr>
          <w:p>
            <w:pPr>
              <w:ind w:left="540"/>
              <w:spacing w:after="0"/>
              <w:rPr>
                <w:sz w:val="20"/>
                <w:szCs w:val="20"/>
                <w:color w:val="auto"/>
              </w:rPr>
            </w:pPr>
            <w:r>
              <w:rPr>
                <w:rFonts w:ascii="Arial" w:cs="Arial" w:eastAsia="Arial" w:hAnsi="Arial"/>
                <w:sz w:val="18"/>
                <w:szCs w:val="18"/>
                <w:color w:val="auto"/>
              </w:rPr>
              <w:t>Short-term bank deposits</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r>
      <w:tr>
        <w:trPr>
          <w:trHeight w:val="20"/>
        </w:trPr>
        <w:tc>
          <w:tcPr>
            <w:tcW w:w="9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9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7"/>
              </w:rPr>
              <w:t>11,746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4,163</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-659765</wp:posOffset>
            </wp:positionV>
            <wp:extent cx="137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ind w:left="720" w:right="560" w:hanging="352"/>
        <w:spacing w:after="0" w:line="257" w:lineRule="auto"/>
        <w:tabs>
          <w:tab w:leader="none" w:pos="72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On June 1, 2010 D.N.A. Biomedical Solutions Ltd. (“D.N.A.”) and Oramed Ltd., (“Oramed”) entered into a joint venture agreement, (the “Joint Venture Agreement”) for the establishment of Entera Bio Ltd.. According to the Joint Venture Agreement each of D.N.A. and Oramed acquired 50% of the Company’s ordinary shares. D.N.A invested $600,000 in the Company, and Oramed and the Company entered into a Patent License Agreement pursuant to which Oramed licensed to the Company certain of Oramed’s patent (the “IPR&amp;D”). The IPR&amp;D was recorded as an intangible asset based on its fair value.</w:t>
      </w:r>
    </w:p>
    <w:p>
      <w:pPr>
        <w:spacing w:after="0" w:line="80" w:lineRule="exact"/>
        <w:rPr>
          <w:rFonts w:ascii="Arial" w:cs="Arial" w:eastAsia="Arial" w:hAnsi="Arial"/>
          <w:sz w:val="18"/>
          <w:szCs w:val="18"/>
          <w:b w:val="1"/>
          <w:bCs w:val="1"/>
          <w:color w:val="auto"/>
        </w:rPr>
      </w:pPr>
    </w:p>
    <w:p>
      <w:pPr>
        <w:ind w:left="720" w:right="1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22, 2011, Oramed and the Company entered into a patent transfer agreement, (the “Patent Transfer Agreement”), that superseded the Patent License Agreement, whereby Oramed assigned to the Company all of its rights, title and interest to its patent that Oramed licensed to the Company since 2010, under certain conditions. Under this agreement, the Company is obligated to pay Oramed royalties equal to 3% of its net revenues (as defined in the Patent Transfer Agreement). The IPR&amp;D is not yet ready to use and as such is not subject to amortization.</w:t>
      </w:r>
    </w:p>
    <w:p>
      <w:pPr>
        <w:spacing w:after="0" w:line="73" w:lineRule="exact"/>
        <w:rPr>
          <w:rFonts w:ascii="Arial" w:cs="Arial" w:eastAsia="Arial" w:hAnsi="Arial"/>
          <w:sz w:val="18"/>
          <w:szCs w:val="18"/>
          <w:b w:val="1"/>
          <w:bCs w:val="1"/>
          <w:color w:val="auto"/>
        </w:rPr>
      </w:pPr>
    </w:p>
    <w:p>
      <w:pPr>
        <w:ind w:left="720" w:right="620" w:hanging="352"/>
        <w:spacing w:after="0" w:line="290" w:lineRule="auto"/>
        <w:tabs>
          <w:tab w:leader="none" w:pos="72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The Company tests intangible assets for impairment at least once a year at December 31 by calculating the recoverable amount of the cash generating unit to which the intangible asset belongs, which is the Company as a whole. The recoverable amount was calculated based on a fair value less cost to sell. For the purpose of calculating fair value of the Company’s equity as of December 31, 2017 the Company applied the market approach and used a price per share of $908.78 per Series B preferred share from the Company’s preferred share issuance in October and December 2017 as a basis for fair market value. For the purpose of calculating fair value of the Company’s equity as of December 31, 2016 the Company prepared a valuation of the cash generating unit based on discounted cash flows (DCF). For both years, based on such assessments, the Company concluded that the recoverable amount of the cash generating unit to which the IPR&amp;D intangible asset belongs is significantly higher than its book value, and there is no need for impairment.</w:t>
      </w:r>
    </w:p>
    <w:p>
      <w:pPr>
        <w:spacing w:after="0" w:line="58" w:lineRule="exact"/>
        <w:rPr>
          <w:rFonts w:ascii="Arial" w:cs="Arial" w:eastAsia="Arial" w:hAnsi="Arial"/>
          <w:sz w:val="16"/>
          <w:szCs w:val="16"/>
          <w:b w:val="1"/>
          <w:bCs w:val="1"/>
          <w:color w:val="auto"/>
        </w:rPr>
      </w:pPr>
    </w:p>
    <w:p>
      <w:pPr>
        <w:ind w:left="720"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Main assumptions used for the assessment of recoverable amount in 2016 were: weighted average cost of capital (WACC) of 22%, commencement of sales in 2021 – 2025 and probability of reaching sales of 20.1% – 37.9%.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w:t>
      </w:r>
    </w:p>
    <w:p>
      <w:pPr>
        <w:spacing w:after="0" w:line="108" w:lineRule="exact"/>
        <w:rPr>
          <w:sz w:val="20"/>
          <w:szCs w:val="20"/>
          <w:color w:val="auto"/>
        </w:rPr>
      </w:pPr>
    </w:p>
    <w:p>
      <w:pPr>
        <w:ind w:left="1080" w:hanging="35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2012 Convertible Loan</w:t>
      </w:r>
    </w:p>
    <w:p>
      <w:pPr>
        <w:spacing w:after="0" w:line="117" w:lineRule="exact"/>
        <w:rPr>
          <w:rFonts w:ascii="Arial" w:cs="Arial" w:eastAsia="Arial" w:hAnsi="Arial"/>
          <w:sz w:val="18"/>
          <w:szCs w:val="18"/>
          <w:color w:val="auto"/>
        </w:rPr>
      </w:pPr>
    </w:p>
    <w:p>
      <w:pPr>
        <w:ind w:left="1080" w:right="340"/>
        <w:spacing w:after="0" w:line="264" w:lineRule="auto"/>
        <w:rPr>
          <w:rFonts w:ascii="Arial" w:cs="Arial" w:eastAsia="Arial" w:hAnsi="Arial"/>
          <w:sz w:val="18"/>
          <w:szCs w:val="18"/>
          <w:color w:val="auto"/>
        </w:rPr>
      </w:pPr>
      <w:r>
        <w:rPr>
          <w:rFonts w:ascii="Arial" w:cs="Arial" w:eastAsia="Arial" w:hAnsi="Arial"/>
          <w:sz w:val="18"/>
          <w:szCs w:val="18"/>
          <w:color w:val="auto"/>
        </w:rPr>
        <w:t>In 2012, the Company entered into loan agreements with certain lenders for an aggregate amount of $1.15 million. Each of the loans bears interest at a rate of 0.6% per year, which is to be repaid every five years, and is due and payable after a term of twenty years. Each of the investors has the right during the term to convert its respective loan amount into ordinary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6" w:name="page197"/>
    <w:bookmarkEnd w:id="19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 (continued)</w:t>
      </w:r>
    </w:p>
    <w:p>
      <w:pPr>
        <w:spacing w:after="0" w:line="202" w:lineRule="exact"/>
        <w:rPr>
          <w:sz w:val="20"/>
          <w:szCs w:val="20"/>
          <w:color w:val="auto"/>
        </w:rPr>
      </w:pPr>
    </w:p>
    <w:p>
      <w:pPr>
        <w:ind w:left="1080" w:right="20"/>
        <w:spacing w:after="0" w:line="293" w:lineRule="auto"/>
        <w:rPr>
          <w:sz w:val="20"/>
          <w:szCs w:val="20"/>
          <w:color w:val="auto"/>
        </w:rPr>
      </w:pPr>
      <w:r>
        <w:rPr>
          <w:rFonts w:ascii="Arial" w:cs="Arial" w:eastAsia="Arial" w:hAnsi="Arial"/>
          <w:sz w:val="16"/>
          <w:szCs w:val="16"/>
          <w:color w:val="auto"/>
        </w:rPr>
        <w:t>shares at a conversion price of $240.26 per ordinary share (subject to adjustment), and for a period of the initial five years of the term of the loan agreement to exchange all such ordinary shares received into ordinary shares of D.N.A at the rate of one of the Company’s ordinary shares for 5,590 ordinary shares of D.N.A or 2,795 ordinary shares after the stock merge performed by D.N.A in October 2015 (also subject to adjustment) (the “D.N.A option”). In addition, under the terms of the loan agreements the outstanding loan amounts will be automatically converted into the Company’s ordinary shares upon the closing of an initial public offering and certain merger and acquisition transactions. The Company has designated the 2012 Convertible Loan on initial recognition as a financial liability at fair value through profit or loss.</w:t>
      </w:r>
    </w:p>
    <w:p>
      <w:pPr>
        <w:spacing w:after="0" w:line="70" w:lineRule="exact"/>
        <w:rPr>
          <w:sz w:val="20"/>
          <w:szCs w:val="20"/>
          <w:color w:val="auto"/>
        </w:rPr>
      </w:pPr>
    </w:p>
    <w:p>
      <w:pPr>
        <w:ind w:left="1080" w:hanging="35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2015 Convertible Loan</w:t>
      </w:r>
    </w:p>
    <w:p>
      <w:pPr>
        <w:spacing w:after="0" w:line="117" w:lineRule="exact"/>
        <w:rPr>
          <w:rFonts w:ascii="Arial" w:cs="Arial" w:eastAsia="Arial" w:hAnsi="Arial"/>
          <w:sz w:val="18"/>
          <w:szCs w:val="18"/>
          <w:color w:val="auto"/>
        </w:rPr>
      </w:pPr>
    </w:p>
    <w:p>
      <w:pPr>
        <w:ind w:left="1080" w:right="80"/>
        <w:spacing w:after="0" w:line="257" w:lineRule="auto"/>
        <w:rPr>
          <w:rFonts w:ascii="Arial" w:cs="Arial" w:eastAsia="Arial" w:hAnsi="Arial"/>
          <w:sz w:val="18"/>
          <w:szCs w:val="18"/>
          <w:color w:val="auto"/>
        </w:rPr>
      </w:pPr>
      <w:r>
        <w:rPr>
          <w:rFonts w:ascii="Arial" w:cs="Arial" w:eastAsia="Arial" w:hAnsi="Arial"/>
          <w:sz w:val="18"/>
          <w:szCs w:val="18"/>
          <w:color w:val="auto"/>
        </w:rPr>
        <w:t>On August 5, 2015, the Company entered into a Convertible Promissory Note and Loan Agreement (“2015 Convertible Loan”) with certain lenders. Pursuant to the loan agreement, the lenders loaned the Company an aggregate amount of $2.005 million. The loan would have been automatically converted upon occurrence of certain events. The loan would have converted into the same class of shares issued in such a transaction at a 25% discount to the applicable price per share in the Triggering Event. The loan was due to mature in February 2017 and bore interest at a rate of 5% per year.</w:t>
      </w:r>
    </w:p>
    <w:p>
      <w:pPr>
        <w:spacing w:after="0" w:line="80" w:lineRule="exact"/>
        <w:rPr>
          <w:rFonts w:ascii="Arial" w:cs="Arial" w:eastAsia="Arial" w:hAnsi="Arial"/>
          <w:sz w:val="18"/>
          <w:szCs w:val="18"/>
          <w:color w:val="auto"/>
        </w:rPr>
      </w:pPr>
    </w:p>
    <w:p>
      <w:pPr>
        <w:ind w:left="1080" w:right="40"/>
        <w:spacing w:after="0" w:line="277" w:lineRule="auto"/>
        <w:rPr>
          <w:rFonts w:ascii="Arial" w:cs="Arial" w:eastAsia="Arial" w:hAnsi="Arial"/>
          <w:sz w:val="18"/>
          <w:szCs w:val="18"/>
          <w:color w:val="auto"/>
        </w:rPr>
      </w:pPr>
      <w:r>
        <w:rPr>
          <w:rFonts w:ascii="Arial" w:cs="Arial" w:eastAsia="Arial" w:hAnsi="Arial"/>
          <w:sz w:val="18"/>
          <w:szCs w:val="18"/>
          <w:color w:val="auto"/>
        </w:rPr>
        <w:t>In addition the Company issued to the lenders warrants to purchase additional shares equal to 40% of the shares issued upon conversion of the loan.</w:t>
      </w:r>
    </w:p>
    <w:p>
      <w:pPr>
        <w:spacing w:after="0" w:line="62" w:lineRule="exact"/>
        <w:rPr>
          <w:rFonts w:ascii="Arial" w:cs="Arial" w:eastAsia="Arial" w:hAnsi="Arial"/>
          <w:sz w:val="18"/>
          <w:szCs w:val="18"/>
          <w:color w:val="auto"/>
        </w:rPr>
      </w:pPr>
    </w:p>
    <w:p>
      <w:pPr>
        <w:ind w:left="1080" w:right="60"/>
        <w:spacing w:after="0" w:line="297" w:lineRule="auto"/>
        <w:rPr>
          <w:rFonts w:ascii="Arial" w:cs="Arial" w:eastAsia="Arial" w:hAnsi="Arial"/>
          <w:sz w:val="18"/>
          <w:szCs w:val="18"/>
          <w:color w:val="auto"/>
        </w:rPr>
      </w:pPr>
      <w:r>
        <w:rPr>
          <w:rFonts w:ascii="Arial" w:cs="Arial" w:eastAsia="Arial" w:hAnsi="Arial"/>
          <w:sz w:val="16"/>
          <w:szCs w:val="16"/>
          <w:color w:val="auto"/>
        </w:rPr>
        <w:t>The Company measured the loan according to the amortized cost using the effective interest method. The Company treated the warrants as a liability at fair value through profit or loss. As part of the 2016 Convertible Loan agreement (See Note 7(a)(3)), the Company provided the right to the lenders of the 2015 Convertible Loan to exchange the 2015 Convertible Loan to the 2016 Convertible Loan including the maturity date. As a result, from total amount of $2,005 thousand, an amount of $1,057 thousand (consisting of $1,025 thousand principal amount plus interest accrued up to June 14, 2016 less withholding tax) exchanged to the new convertible loan.</w:t>
      </w:r>
    </w:p>
    <w:p>
      <w:pPr>
        <w:spacing w:after="0" w:line="50" w:lineRule="exact"/>
        <w:rPr>
          <w:rFonts w:ascii="Arial" w:cs="Arial" w:eastAsia="Arial" w:hAnsi="Arial"/>
          <w:sz w:val="18"/>
          <w:szCs w:val="18"/>
          <w:color w:val="auto"/>
        </w:rPr>
      </w:pPr>
    </w:p>
    <w:p>
      <w:pPr>
        <w:jc w:val="both"/>
        <w:ind w:left="1080"/>
        <w:spacing w:after="0" w:line="264" w:lineRule="auto"/>
        <w:rPr>
          <w:rFonts w:ascii="Arial" w:cs="Arial" w:eastAsia="Arial" w:hAnsi="Arial"/>
          <w:sz w:val="18"/>
          <w:szCs w:val="18"/>
          <w:color w:val="auto"/>
        </w:rPr>
      </w:pPr>
      <w:r>
        <w:rPr>
          <w:rFonts w:ascii="Arial" w:cs="Arial" w:eastAsia="Arial" w:hAnsi="Arial"/>
          <w:sz w:val="18"/>
          <w:szCs w:val="18"/>
          <w:color w:val="auto"/>
        </w:rPr>
        <w:t>Since the terms of the loans are substantially different, the exchange was considered as an extinguishment, which in essence means recording a loss due to 2015 Convertible Loan that were exchanged for the new convertible loan recorded at fair value. The loss of extinguishment of $64 thousand was recognized as a finance expenses.</w:t>
      </w:r>
    </w:p>
    <w:p>
      <w:pPr>
        <w:spacing w:after="0" w:line="7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According to the 2016 Convertible Loan agreement, the Company deposited at the trustee an amount of $1,053 thousand.</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On the maturity date, February 5, 2017, the Company repaid the amount of $1,053 thousand using the cash deposited at the trustee.</w:t>
      </w:r>
    </w:p>
    <w:p>
      <w:pPr>
        <w:spacing w:after="0" w:line="128" w:lineRule="exact"/>
        <w:rPr>
          <w:rFonts w:ascii="Arial" w:cs="Arial" w:eastAsia="Arial" w:hAnsi="Arial"/>
          <w:sz w:val="18"/>
          <w:szCs w:val="18"/>
          <w:color w:val="auto"/>
        </w:rPr>
      </w:pPr>
    </w:p>
    <w:p>
      <w:pPr>
        <w:ind w:left="1080" w:hanging="35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2016 Convertible Loan</w:t>
      </w:r>
    </w:p>
    <w:p>
      <w:pPr>
        <w:spacing w:after="0" w:line="117" w:lineRule="exact"/>
        <w:rPr>
          <w:rFonts w:ascii="Arial" w:cs="Arial" w:eastAsia="Arial" w:hAnsi="Arial"/>
          <w:sz w:val="18"/>
          <w:szCs w:val="18"/>
          <w:color w:val="auto"/>
        </w:rPr>
      </w:pPr>
    </w:p>
    <w:p>
      <w:pPr>
        <w:ind w:left="1080" w:right="700"/>
        <w:spacing w:after="0" w:line="277" w:lineRule="auto"/>
        <w:rPr>
          <w:rFonts w:ascii="Arial" w:cs="Arial" w:eastAsia="Arial" w:hAnsi="Arial"/>
          <w:sz w:val="18"/>
          <w:szCs w:val="18"/>
          <w:color w:val="auto"/>
        </w:rPr>
      </w:pPr>
      <w:r>
        <w:rPr>
          <w:rFonts w:ascii="Arial" w:cs="Arial" w:eastAsia="Arial" w:hAnsi="Arial"/>
          <w:sz w:val="18"/>
          <w:szCs w:val="18"/>
          <w:color w:val="auto"/>
        </w:rPr>
        <w:t>In June 2016, the Company closed a private placement (the “2016 Convertible Loan”) with certain lenders in an aggregate amount of approximately $7.44 million in exchange for the following instruments:</w:t>
      </w:r>
    </w:p>
    <w:p>
      <w:pPr>
        <w:spacing w:after="0" w:line="62" w:lineRule="exact"/>
        <w:rPr>
          <w:rFonts w:ascii="Arial" w:cs="Arial" w:eastAsia="Arial" w:hAnsi="Arial"/>
          <w:sz w:val="18"/>
          <w:szCs w:val="18"/>
          <w:color w:val="auto"/>
        </w:rPr>
      </w:pPr>
    </w:p>
    <w:p>
      <w:pPr>
        <w:ind w:left="1080" w:right="80"/>
        <w:spacing w:after="0" w:line="259" w:lineRule="auto"/>
        <w:rPr>
          <w:rFonts w:ascii="Arial" w:cs="Arial" w:eastAsia="Arial" w:hAnsi="Arial"/>
          <w:sz w:val="18"/>
          <w:szCs w:val="18"/>
          <w:color w:val="auto"/>
        </w:rPr>
      </w:pPr>
      <w:r>
        <w:rPr>
          <w:rFonts w:ascii="Arial" w:cs="Arial" w:eastAsia="Arial" w:hAnsi="Arial"/>
          <w:sz w:val="18"/>
          <w:szCs w:val="18"/>
          <w:color w:val="auto"/>
        </w:rPr>
        <w:t>a) Loan for a term of 18 months. The loan bears interest at a rate of 5% per year. The loan will be automatically converted upon occurrence of the following events as described in the agreement: initial public offering (IPO) of at least $20 million, private placement in an aggregate amount of no less than $10 million or change of control (the “Triggering Event”). Furthermore, in case of private placement in an aggregate amount of $4 – $10 million the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97" w:name="page198"/>
    <w:bookmarkEnd w:id="19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 (continued)</w:t>
      </w:r>
    </w:p>
    <w:p>
      <w:pPr>
        <w:spacing w:after="0" w:line="202" w:lineRule="exact"/>
        <w:rPr>
          <w:sz w:val="20"/>
          <w:szCs w:val="20"/>
          <w:color w:val="auto"/>
        </w:rPr>
      </w:pPr>
    </w:p>
    <w:p>
      <w:pPr>
        <w:ind w:left="1080" w:right="140"/>
        <w:spacing w:after="0" w:line="342" w:lineRule="auto"/>
        <w:rPr>
          <w:sz w:val="20"/>
          <w:szCs w:val="20"/>
          <w:color w:val="auto"/>
        </w:rPr>
      </w:pPr>
      <w:r>
        <w:rPr>
          <w:rFonts w:ascii="Arial" w:cs="Arial" w:eastAsia="Arial" w:hAnsi="Arial"/>
          <w:sz w:val="16"/>
          <w:szCs w:val="16"/>
          <w:color w:val="auto"/>
        </w:rPr>
        <w:t>lenders shall have the right to convert the loan to shares. The loan will convert into the same class of shares issued in such a transaction at the lower of a 25% discount to the applicable price per share in the Triggering Event or value of equity on a fully diluted basis of $65 million.</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Company has designated the 2016 Convertible Loan on initial recognition as a financial liability at fair value through profit or loss.</w:t>
      </w:r>
    </w:p>
    <w:p>
      <w:pPr>
        <w:spacing w:after="0" w:line="115" w:lineRule="exact"/>
        <w:rPr>
          <w:sz w:val="20"/>
          <w:szCs w:val="20"/>
          <w:color w:val="auto"/>
        </w:rPr>
      </w:pPr>
    </w:p>
    <w:p>
      <w:pPr>
        <w:ind w:left="1080" w:right="280" w:firstLine="8"/>
        <w:spacing w:after="0" w:line="308" w:lineRule="auto"/>
        <w:tabs>
          <w:tab w:leader="none" w:pos="127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Warrants to purchase additional shares (“2016 Warrants”) equal to 40% of the shares issued upon conversion in exchange for an exercise price of the fair value of the shares in a Triggering Event. The warrant will be exercisable for 4 years from the grant date.</w:t>
      </w:r>
    </w:p>
    <w:p>
      <w:pPr>
        <w:spacing w:after="0" w:line="38" w:lineRule="exact"/>
        <w:rPr>
          <w:sz w:val="20"/>
          <w:szCs w:val="20"/>
          <w:color w:val="auto"/>
        </w:rPr>
      </w:pPr>
    </w:p>
    <w:p>
      <w:pPr>
        <w:ind w:left="1080" w:right="420"/>
        <w:spacing w:after="0" w:line="277" w:lineRule="auto"/>
        <w:rPr>
          <w:sz w:val="20"/>
          <w:szCs w:val="20"/>
          <w:color w:val="auto"/>
        </w:rPr>
      </w:pPr>
      <w:r>
        <w:rPr>
          <w:rFonts w:ascii="Arial" w:cs="Arial" w:eastAsia="Arial" w:hAnsi="Arial"/>
          <w:sz w:val="18"/>
          <w:szCs w:val="18"/>
          <w:color w:val="auto"/>
        </w:rPr>
        <w:t>Total transaction expenses amounted to $363 thousand, out of which $150 thousand were payable in Company shares. The proceeds were allocated to the convertible loan and the warrants according to their fair value.</w:t>
      </w:r>
    </w:p>
    <w:p>
      <w:pPr>
        <w:spacing w:after="0" w:line="62" w:lineRule="exact"/>
        <w:rPr>
          <w:sz w:val="20"/>
          <w:szCs w:val="20"/>
          <w:color w:val="auto"/>
        </w:rPr>
      </w:pPr>
    </w:p>
    <w:p>
      <w:pPr>
        <w:ind w:left="1080" w:right="200"/>
        <w:spacing w:after="0" w:line="259" w:lineRule="auto"/>
        <w:rPr>
          <w:sz w:val="20"/>
          <w:szCs w:val="20"/>
          <w:color w:val="auto"/>
        </w:rPr>
      </w:pPr>
      <w:r>
        <w:rPr>
          <w:rFonts w:ascii="Arial" w:cs="Arial" w:eastAsia="Arial" w:hAnsi="Arial"/>
          <w:sz w:val="18"/>
          <w:szCs w:val="18"/>
          <w:color w:val="auto"/>
        </w:rPr>
        <w:t>As part of the agreement, the Company gave the right to the lenders of the 2015 Convertible Loan to exchange the 2015 Convertible Loan to the 2016 Convertible Loan including the maturity date. As a result from total amount of $2,005 thousand, an amount of $1,057 thousand (consisting of $1,025 thousand principal amount plus interest accrued up to June 14, 2016 less withholding taxes) exchanged to the 2016 Convertible Loan.</w:t>
      </w:r>
    </w:p>
    <w:p>
      <w:pPr>
        <w:spacing w:after="0" w:line="79" w:lineRule="exact"/>
        <w:rPr>
          <w:sz w:val="20"/>
          <w:szCs w:val="20"/>
          <w:color w:val="auto"/>
        </w:rPr>
      </w:pPr>
    </w:p>
    <w:p>
      <w:pPr>
        <w:jc w:val="both"/>
        <w:ind w:left="1080" w:right="120"/>
        <w:spacing w:after="0" w:line="264" w:lineRule="auto"/>
        <w:rPr>
          <w:sz w:val="20"/>
          <w:szCs w:val="20"/>
          <w:color w:val="auto"/>
        </w:rPr>
      </w:pPr>
      <w:r>
        <w:rPr>
          <w:rFonts w:ascii="Arial" w:cs="Arial" w:eastAsia="Arial" w:hAnsi="Arial"/>
          <w:sz w:val="18"/>
          <w:szCs w:val="18"/>
          <w:color w:val="auto"/>
        </w:rPr>
        <w:t>As described in note 8, as part of the Series B preferred share purchase agreement the 2016 convertible loan together with the accrued interest was converted in to 13,299 series B-1 preferred shares at a price per share of $681.585. Also, the 2016 Warrants became warrant to purchase Series B preferred shares at an exercise price of $908.78.</w:t>
      </w:r>
    </w:p>
    <w:p>
      <w:pPr>
        <w:spacing w:after="0" w:line="127" w:lineRule="exact"/>
        <w:rPr>
          <w:sz w:val="20"/>
          <w:szCs w:val="20"/>
          <w:color w:val="auto"/>
        </w:rPr>
      </w:pPr>
    </w:p>
    <w:p>
      <w:pPr>
        <w:ind w:left="1080" w:right="680" w:hanging="352"/>
        <w:spacing w:after="0" w:line="302" w:lineRule="auto"/>
        <w:tabs>
          <w:tab w:leader="none" w:pos="108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The Company prepared a valuation of the 2012 Convertible loan and the 2016 convertible loan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 The following parameters were used: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6"/>
        </w:trPr>
        <w:tc>
          <w:tcPr>
            <w:tcW w:w="1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8"/>
        </w:trPr>
        <w:tc>
          <w:tcPr>
            <w:tcW w:w="10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0" w:type="dxa"/>
            <w:vAlign w:val="bottom"/>
          </w:tcPr>
          <w:p>
            <w:pPr>
              <w:ind w:left="56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2016</w:t>
            </w:r>
          </w:p>
        </w:tc>
      </w:tr>
      <w:tr>
        <w:trPr>
          <w:trHeight w:val="26"/>
        </w:trPr>
        <w:tc>
          <w:tcPr>
            <w:tcW w:w="10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1080" w:type="dxa"/>
            <w:vAlign w:val="bottom"/>
            <w:shd w:val="clear" w:color="auto" w:fill="CCEEFF"/>
          </w:tcPr>
          <w:p>
            <w:pPr>
              <w:spacing w:after="0"/>
              <w:rPr>
                <w:sz w:val="21"/>
                <w:szCs w:val="21"/>
                <w:color w:val="auto"/>
              </w:rPr>
            </w:pPr>
          </w:p>
        </w:tc>
        <w:tc>
          <w:tcPr>
            <w:tcW w:w="7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Preferred B price per share*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$908.78</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080" w:type="dxa"/>
            <w:vAlign w:val="bottom"/>
          </w:tcPr>
          <w:p>
            <w:pPr>
              <w:spacing w:after="0"/>
              <w:rPr>
                <w:sz w:val="22"/>
                <w:szCs w:val="22"/>
                <w:color w:val="auto"/>
              </w:rPr>
            </w:pPr>
          </w:p>
        </w:tc>
        <w:tc>
          <w:tcPr>
            <w:tcW w:w="7320" w:type="dxa"/>
            <w:vAlign w:val="bottom"/>
            <w:gridSpan w:val="2"/>
          </w:tcPr>
          <w:p>
            <w:pPr>
              <w:ind w:left="720"/>
              <w:spacing w:after="0"/>
              <w:rPr>
                <w:sz w:val="20"/>
                <w:szCs w:val="20"/>
                <w:color w:val="auto"/>
              </w:rPr>
            </w:pPr>
            <w:r>
              <w:rPr>
                <w:rFonts w:ascii="Arial" w:cs="Arial" w:eastAsia="Arial" w:hAnsi="Arial"/>
                <w:sz w:val="18"/>
                <w:szCs w:val="18"/>
                <w:color w:val="auto"/>
              </w:rPr>
              <w:t>Value of equity**</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$78 million</w:t>
            </w:r>
          </w:p>
        </w:tc>
        <w:tc>
          <w:tcPr>
            <w:tcW w:w="960" w:type="dxa"/>
            <w:vAlign w:val="bottom"/>
          </w:tcPr>
          <w:p>
            <w:pPr>
              <w:ind w:left="120"/>
              <w:spacing w:after="0"/>
              <w:rPr>
                <w:sz w:val="20"/>
                <w:szCs w:val="20"/>
                <w:color w:val="auto"/>
              </w:rPr>
            </w:pPr>
            <w:r>
              <w:rPr>
                <w:rFonts w:ascii="Arial" w:cs="Arial" w:eastAsia="Arial" w:hAnsi="Arial"/>
                <w:sz w:val="18"/>
                <w:szCs w:val="18"/>
                <w:color w:val="auto"/>
                <w:w w:val="95"/>
              </w:rPr>
              <w:t>$71 million</w:t>
            </w:r>
          </w:p>
        </w:tc>
      </w:tr>
      <w:tr>
        <w:trPr>
          <w:trHeight w:val="257"/>
        </w:trPr>
        <w:tc>
          <w:tcPr>
            <w:tcW w:w="1080" w:type="dxa"/>
            <w:vAlign w:val="bottom"/>
            <w:shd w:val="clear" w:color="auto" w:fill="CCEEFF"/>
          </w:tcPr>
          <w:p>
            <w:pPr>
              <w:spacing w:after="0"/>
              <w:rPr>
                <w:sz w:val="22"/>
                <w:szCs w:val="22"/>
                <w:color w:val="auto"/>
              </w:rPr>
            </w:pPr>
          </w:p>
        </w:tc>
        <w:tc>
          <w:tcPr>
            <w:tcW w:w="7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Volatility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1080" w:type="dxa"/>
            <w:vAlign w:val="bottom"/>
          </w:tcPr>
          <w:p>
            <w:pPr>
              <w:spacing w:after="0"/>
              <w:rPr>
                <w:sz w:val="22"/>
                <w:szCs w:val="22"/>
                <w:color w:val="auto"/>
              </w:rPr>
            </w:pPr>
          </w:p>
        </w:tc>
        <w:tc>
          <w:tcPr>
            <w:tcW w:w="7320" w:type="dxa"/>
            <w:vAlign w:val="bottom"/>
            <w:gridSpan w:val="2"/>
          </w:tcPr>
          <w:p>
            <w:pPr>
              <w:ind w:left="720"/>
              <w:spacing w:after="0"/>
              <w:rPr>
                <w:sz w:val="20"/>
                <w:szCs w:val="20"/>
                <w:color w:val="auto"/>
              </w:rPr>
            </w:pPr>
            <w:r>
              <w:rPr>
                <w:rFonts w:ascii="Arial" w:cs="Arial" w:eastAsia="Arial" w:hAnsi="Arial"/>
                <w:sz w:val="18"/>
                <w:szCs w:val="18"/>
                <w:color w:val="auto"/>
              </w:rPr>
              <w:t>Probability of entering Phase 2b/3</w:t>
            </w: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1080" w:type="dxa"/>
            <w:vAlign w:val="bottom"/>
            <w:shd w:val="clear" w:color="auto" w:fill="CCEEFF"/>
          </w:tcPr>
          <w:p>
            <w:pPr>
              <w:spacing w:after="0"/>
              <w:rPr>
                <w:sz w:val="22"/>
                <w:szCs w:val="22"/>
                <w:color w:val="auto"/>
              </w:rPr>
            </w:pPr>
          </w:p>
        </w:tc>
        <w:tc>
          <w:tcPr>
            <w:tcW w:w="7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Probability for IPO</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1080" w:type="dxa"/>
            <w:vAlign w:val="bottom"/>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4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63544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82" w:lineRule="exact"/>
        <w:rPr>
          <w:sz w:val="20"/>
          <w:szCs w:val="20"/>
          <w:color w:val="auto"/>
        </w:rPr>
      </w:pPr>
    </w:p>
    <w:p>
      <w:pPr>
        <w:ind w:left="1440" w:hanging="352"/>
        <w:spacing w:after="0"/>
        <w:tabs>
          <w:tab w:leader="none" w:pos="1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According to agreement as described in note 8b.</w:t>
      </w:r>
    </w:p>
    <w:p>
      <w:pPr>
        <w:spacing w:after="0" w:line="198" w:lineRule="exact"/>
        <w:rPr>
          <w:sz w:val="20"/>
          <w:szCs w:val="20"/>
          <w:color w:val="auto"/>
        </w:rPr>
      </w:pPr>
    </w:p>
    <w:p>
      <w:pPr>
        <w:ind w:left="1440" w:right="980" w:hanging="352"/>
        <w:spacing w:after="0" w:line="286" w:lineRule="auto"/>
        <w:tabs>
          <w:tab w:leader="none" w:pos="1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value of equity as of December 31, 2017 was based on market approach as described in note 6. The value of equity as of December 31, 2016 was based on a valuation performed by the Company as detailed in note 6. The value of equity includes ordinary shares, preferred shares, warrants and options to preferred shares and shares.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8" w:name="page199"/>
    <w:bookmarkEnd w:id="19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 (continued)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00" w:type="dxa"/>
            <w:vAlign w:val="bottom"/>
          </w:tcPr>
          <w:p>
            <w:pPr>
              <w:spacing w:after="0"/>
              <w:rPr>
                <w:sz w:val="16"/>
                <w:szCs w:val="16"/>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Convertible loans</w:t>
            </w:r>
          </w:p>
        </w:tc>
      </w:tr>
      <w:tr>
        <w:trPr>
          <w:trHeight w:val="26"/>
        </w:trPr>
        <w:tc>
          <w:tcPr>
            <w:tcW w:w="95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r>
      <w:tr>
        <w:trPr>
          <w:trHeight w:val="173"/>
        </w:trPr>
        <w:tc>
          <w:tcPr>
            <w:tcW w:w="9500" w:type="dxa"/>
            <w:vAlign w:val="bottom"/>
          </w:tcPr>
          <w:p>
            <w:pPr>
              <w:spacing w:after="0"/>
              <w:rPr>
                <w:sz w:val="15"/>
                <w:szCs w:val="15"/>
                <w:color w:val="auto"/>
              </w:rPr>
            </w:pPr>
          </w:p>
        </w:tc>
        <w:tc>
          <w:tcPr>
            <w:tcW w:w="19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U.S. dollars</w:t>
            </w:r>
          </w:p>
        </w:tc>
      </w:tr>
      <w:tr>
        <w:trPr>
          <w:trHeight w:val="185"/>
        </w:trPr>
        <w:tc>
          <w:tcPr>
            <w:tcW w:w="9500" w:type="dxa"/>
            <w:vAlign w:val="bottom"/>
          </w:tcPr>
          <w:p>
            <w:pPr>
              <w:spacing w:after="0"/>
              <w:rPr>
                <w:sz w:val="16"/>
                <w:szCs w:val="16"/>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in thousands</w:t>
            </w:r>
          </w:p>
        </w:tc>
      </w:tr>
      <w:tr>
        <w:trPr>
          <w:trHeight w:val="257"/>
        </w:trPr>
        <w:tc>
          <w:tcPr>
            <w:tcW w:w="9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Balance as of January 1, 2016</w:t>
            </w:r>
          </w:p>
        </w:tc>
        <w:tc>
          <w:tcPr>
            <w:tcW w:w="1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8,053</w:t>
            </w:r>
          </w:p>
        </w:tc>
        <w:tc>
          <w:tcPr>
            <w:tcW w:w="660" w:type="dxa"/>
            <w:vAlign w:val="bottom"/>
            <w:shd w:val="clear" w:color="auto" w:fill="CCEEFF"/>
          </w:tcPr>
          <w:p>
            <w:pPr>
              <w:spacing w:after="0"/>
              <w:rPr>
                <w:sz w:val="22"/>
                <w:szCs w:val="22"/>
                <w:color w:val="auto"/>
              </w:rPr>
            </w:pPr>
          </w:p>
        </w:tc>
      </w:tr>
      <w:tr>
        <w:trPr>
          <w:trHeight w:val="257"/>
        </w:trPr>
        <w:tc>
          <w:tcPr>
            <w:tcW w:w="9500" w:type="dxa"/>
            <w:vAlign w:val="bottom"/>
          </w:tcPr>
          <w:p>
            <w:pPr>
              <w:ind w:left="1120"/>
              <w:spacing w:after="0"/>
              <w:rPr>
                <w:sz w:val="20"/>
                <w:szCs w:val="20"/>
                <w:color w:val="auto"/>
              </w:rPr>
            </w:pPr>
            <w:r>
              <w:rPr>
                <w:rFonts w:ascii="Arial" w:cs="Arial" w:eastAsia="Arial" w:hAnsi="Arial"/>
                <w:sz w:val="18"/>
                <w:szCs w:val="18"/>
                <w:color w:val="auto"/>
              </w:rPr>
              <w:t>Additions during 2016</w:t>
            </w:r>
          </w:p>
        </w:tc>
        <w:tc>
          <w:tcPr>
            <w:tcW w:w="1920" w:type="dxa"/>
            <w:vAlign w:val="bottom"/>
            <w:gridSpan w:val="6"/>
          </w:tcPr>
          <w:p>
            <w:pPr>
              <w:jc w:val="right"/>
              <w:ind w:right="680"/>
              <w:spacing w:after="0"/>
              <w:rPr>
                <w:sz w:val="20"/>
                <w:szCs w:val="20"/>
                <w:color w:val="auto"/>
              </w:rPr>
            </w:pPr>
            <w:r>
              <w:rPr>
                <w:rFonts w:ascii="Arial" w:cs="Arial" w:eastAsia="Arial" w:hAnsi="Arial"/>
                <w:sz w:val="18"/>
                <w:szCs w:val="18"/>
                <w:color w:val="auto"/>
              </w:rPr>
              <w:t>6,110</w:t>
            </w:r>
          </w:p>
        </w:tc>
      </w:tr>
      <w:tr>
        <w:trPr>
          <w:trHeight w:val="257"/>
        </w:trPr>
        <w:tc>
          <w:tcPr>
            <w:tcW w:w="9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Financial expenses</w:t>
            </w:r>
          </w:p>
        </w:tc>
        <w:tc>
          <w:tcPr>
            <w:tcW w:w="1920" w:type="dxa"/>
            <w:vAlign w:val="bottom"/>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105</w:t>
            </w:r>
          </w:p>
        </w:tc>
      </w:tr>
      <w:tr>
        <w:trPr>
          <w:trHeight w:val="264"/>
        </w:trPr>
        <w:tc>
          <w:tcPr>
            <w:tcW w:w="95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Changes in fair value</w:t>
            </w:r>
          </w:p>
        </w:tc>
        <w:tc>
          <w:tcPr>
            <w:tcW w:w="6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452</w:t>
            </w:r>
          </w:p>
        </w:tc>
        <w:tc>
          <w:tcPr>
            <w:tcW w:w="680" w:type="dxa"/>
            <w:vAlign w:val="bottom"/>
            <w:tcBorders>
              <w:bottom w:val="single" w:sz="8" w:color="CCEEFF"/>
            </w:tcBorders>
            <w:gridSpan w:val="2"/>
          </w:tcPr>
          <w:p>
            <w:pPr>
              <w:spacing w:after="0"/>
              <w:rPr>
                <w:sz w:val="22"/>
                <w:szCs w:val="22"/>
                <w:color w:val="auto"/>
              </w:rPr>
            </w:pPr>
          </w:p>
        </w:tc>
      </w:tr>
      <w:tr>
        <w:trPr>
          <w:trHeight w:val="257"/>
        </w:trPr>
        <w:tc>
          <w:tcPr>
            <w:tcW w:w="9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Balance as of December 31, 2016</w:t>
            </w:r>
          </w:p>
        </w:tc>
        <w:tc>
          <w:tcPr>
            <w:tcW w:w="1920" w:type="dxa"/>
            <w:vAlign w:val="bottom"/>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14,720</w:t>
            </w:r>
          </w:p>
        </w:tc>
      </w:tr>
      <w:tr>
        <w:trPr>
          <w:trHeight w:val="257"/>
        </w:trPr>
        <w:tc>
          <w:tcPr>
            <w:tcW w:w="9500" w:type="dxa"/>
            <w:vAlign w:val="bottom"/>
          </w:tcPr>
          <w:p>
            <w:pPr>
              <w:ind w:left="1120"/>
              <w:spacing w:after="0"/>
              <w:rPr>
                <w:sz w:val="20"/>
                <w:szCs w:val="20"/>
                <w:color w:val="auto"/>
              </w:rPr>
            </w:pPr>
            <w:r>
              <w:rPr>
                <w:rFonts w:ascii="Arial" w:cs="Arial" w:eastAsia="Arial" w:hAnsi="Arial"/>
                <w:sz w:val="18"/>
                <w:szCs w:val="18"/>
                <w:color w:val="auto"/>
              </w:rPr>
              <w:t>Maturity during period</w:t>
            </w:r>
          </w:p>
        </w:tc>
        <w:tc>
          <w:tcPr>
            <w:tcW w:w="1920" w:type="dxa"/>
            <w:vAlign w:val="bottom"/>
            <w:gridSpan w:val="6"/>
          </w:tcPr>
          <w:p>
            <w:pPr>
              <w:jc w:val="right"/>
              <w:ind w:right="620"/>
              <w:spacing w:after="0"/>
              <w:rPr>
                <w:sz w:val="20"/>
                <w:szCs w:val="20"/>
                <w:color w:val="auto"/>
              </w:rPr>
            </w:pPr>
            <w:r>
              <w:rPr>
                <w:rFonts w:ascii="Arial" w:cs="Arial" w:eastAsia="Arial" w:hAnsi="Arial"/>
                <w:sz w:val="18"/>
                <w:szCs w:val="18"/>
                <w:color w:val="auto"/>
              </w:rPr>
              <w:t>(1,053)</w:t>
            </w:r>
          </w:p>
        </w:tc>
      </w:tr>
      <w:tr>
        <w:trPr>
          <w:trHeight w:val="257"/>
        </w:trPr>
        <w:tc>
          <w:tcPr>
            <w:tcW w:w="9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Conversion to Series B-1 preferred shares</w:t>
            </w:r>
          </w:p>
        </w:tc>
        <w:tc>
          <w:tcPr>
            <w:tcW w:w="1920" w:type="dxa"/>
            <w:vAlign w:val="bottom"/>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(11,695)</w:t>
            </w:r>
          </w:p>
        </w:tc>
      </w:tr>
      <w:tr>
        <w:trPr>
          <w:trHeight w:val="257"/>
        </w:trPr>
        <w:tc>
          <w:tcPr>
            <w:tcW w:w="9500" w:type="dxa"/>
            <w:vAlign w:val="bottom"/>
          </w:tcPr>
          <w:p>
            <w:pPr>
              <w:ind w:left="1120"/>
              <w:spacing w:after="0"/>
              <w:rPr>
                <w:sz w:val="20"/>
                <w:szCs w:val="20"/>
                <w:color w:val="auto"/>
              </w:rPr>
            </w:pPr>
            <w:r>
              <w:rPr>
                <w:rFonts w:ascii="Arial" w:cs="Arial" w:eastAsia="Arial" w:hAnsi="Arial"/>
                <w:sz w:val="18"/>
                <w:szCs w:val="18"/>
                <w:color w:val="auto"/>
              </w:rPr>
              <w:t>Financial expenses</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2"/>
                <w:szCs w:val="22"/>
                <w:color w:val="auto"/>
              </w:rPr>
            </w:pPr>
          </w:p>
        </w:tc>
      </w:tr>
      <w:tr>
        <w:trPr>
          <w:trHeight w:val="264"/>
        </w:trPr>
        <w:tc>
          <w:tcPr>
            <w:tcW w:w="95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Changes in fair value</w:t>
            </w:r>
          </w:p>
        </w:tc>
        <w:tc>
          <w:tcPr>
            <w:tcW w:w="6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57"/>
        </w:trPr>
        <w:tc>
          <w:tcPr>
            <w:tcW w:w="9500" w:type="dxa"/>
            <w:vAlign w:val="bottom"/>
          </w:tcPr>
          <w:p>
            <w:pPr>
              <w:ind w:left="1120"/>
              <w:spacing w:after="0"/>
              <w:rPr>
                <w:sz w:val="20"/>
                <w:szCs w:val="20"/>
                <w:color w:val="auto"/>
              </w:rPr>
            </w:pPr>
            <w:r>
              <w:rPr>
                <w:rFonts w:ascii="Arial" w:cs="Arial" w:eastAsia="Arial" w:hAnsi="Arial"/>
                <w:sz w:val="18"/>
                <w:szCs w:val="18"/>
                <w:color w:val="auto"/>
              </w:rPr>
              <w:t>Balance as of December 31, 2017</w:t>
            </w:r>
          </w:p>
        </w:tc>
        <w:tc>
          <w:tcPr>
            <w:tcW w:w="680" w:type="dxa"/>
            <w:vAlign w:val="bottom"/>
          </w:tcPr>
          <w:p>
            <w:pPr>
              <w:spacing w:after="0"/>
              <w:rPr>
                <w:sz w:val="22"/>
                <w:szCs w:val="22"/>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3,893</w:t>
            </w:r>
          </w:p>
        </w:tc>
        <w:tc>
          <w:tcPr>
            <w:tcW w:w="660" w:type="dxa"/>
            <w:vAlign w:val="bottom"/>
          </w:tcPr>
          <w:p>
            <w:pPr>
              <w:spacing w:after="0"/>
              <w:rPr>
                <w:sz w:val="22"/>
                <w:szCs w:val="22"/>
                <w:color w:val="auto"/>
              </w:rPr>
            </w:pPr>
          </w:p>
        </w:tc>
      </w:tr>
      <w:tr>
        <w:trPr>
          <w:trHeight w:val="20"/>
        </w:trPr>
        <w:tc>
          <w:tcPr>
            <w:tcW w:w="9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403"/>
        </w:trPr>
        <w:tc>
          <w:tcPr>
            <w:tcW w:w="9500" w:type="dxa"/>
            <w:vAlign w:val="bottom"/>
          </w:tcPr>
          <w:p>
            <w:pPr>
              <w:spacing w:after="0"/>
              <w:rPr>
                <w:sz w:val="24"/>
                <w:szCs w:val="24"/>
                <w:color w:val="auto"/>
              </w:rPr>
            </w:pPr>
          </w:p>
        </w:tc>
        <w:tc>
          <w:tcPr>
            <w:tcW w:w="19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7"/>
              </w:rPr>
              <w:t>Warrants to</w:t>
            </w:r>
          </w:p>
        </w:tc>
      </w:tr>
      <w:tr>
        <w:trPr>
          <w:trHeight w:val="162"/>
        </w:trPr>
        <w:tc>
          <w:tcPr>
            <w:tcW w:w="9500" w:type="dxa"/>
            <w:vAlign w:val="bottom"/>
          </w:tcPr>
          <w:p>
            <w:pPr>
              <w:spacing w:after="0"/>
              <w:rPr>
                <w:sz w:val="14"/>
                <w:szCs w:val="14"/>
                <w:color w:val="auto"/>
              </w:rPr>
            </w:pPr>
          </w:p>
        </w:tc>
        <w:tc>
          <w:tcPr>
            <w:tcW w:w="19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purchase preferred</w:t>
            </w:r>
          </w:p>
        </w:tc>
      </w:tr>
      <w:tr>
        <w:trPr>
          <w:trHeight w:val="186"/>
        </w:trPr>
        <w:tc>
          <w:tcPr>
            <w:tcW w:w="9500" w:type="dxa"/>
            <w:vAlign w:val="bottom"/>
          </w:tcPr>
          <w:p>
            <w:pPr>
              <w:spacing w:after="0"/>
              <w:rPr>
                <w:sz w:val="16"/>
                <w:szCs w:val="16"/>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shares and shares</w:t>
            </w:r>
          </w:p>
        </w:tc>
      </w:tr>
      <w:tr>
        <w:trPr>
          <w:trHeight w:val="26"/>
        </w:trPr>
        <w:tc>
          <w:tcPr>
            <w:tcW w:w="9500" w:type="dxa"/>
            <w:vAlign w:val="bottom"/>
          </w:tcPr>
          <w:p>
            <w:pPr>
              <w:spacing w:after="0"/>
              <w:rPr>
                <w:sz w:val="2"/>
                <w:szCs w:val="2"/>
                <w:color w:val="auto"/>
              </w:rPr>
            </w:pPr>
          </w:p>
        </w:tc>
        <w:tc>
          <w:tcPr>
            <w:tcW w:w="1920" w:type="dxa"/>
            <w:vAlign w:val="bottom"/>
            <w:tcBorders>
              <w:bottom w:val="single" w:sz="8" w:color="auto"/>
            </w:tcBorders>
            <w:gridSpan w:val="6"/>
          </w:tcPr>
          <w:p>
            <w:pPr>
              <w:spacing w:after="0"/>
              <w:rPr>
                <w:sz w:val="2"/>
                <w:szCs w:val="2"/>
                <w:color w:val="auto"/>
              </w:rPr>
            </w:pPr>
          </w:p>
        </w:tc>
      </w:tr>
      <w:tr>
        <w:trPr>
          <w:trHeight w:val="173"/>
        </w:trPr>
        <w:tc>
          <w:tcPr>
            <w:tcW w:w="9500" w:type="dxa"/>
            <w:vAlign w:val="bottom"/>
          </w:tcPr>
          <w:p>
            <w:pPr>
              <w:spacing w:after="0"/>
              <w:rPr>
                <w:sz w:val="15"/>
                <w:szCs w:val="15"/>
                <w:color w:val="auto"/>
              </w:rPr>
            </w:pPr>
          </w:p>
        </w:tc>
        <w:tc>
          <w:tcPr>
            <w:tcW w:w="19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U.S. dollars</w:t>
            </w:r>
          </w:p>
        </w:tc>
      </w:tr>
      <w:tr>
        <w:trPr>
          <w:trHeight w:val="185"/>
        </w:trPr>
        <w:tc>
          <w:tcPr>
            <w:tcW w:w="9500" w:type="dxa"/>
            <w:vAlign w:val="bottom"/>
          </w:tcPr>
          <w:p>
            <w:pPr>
              <w:spacing w:after="0"/>
              <w:rPr>
                <w:sz w:val="16"/>
                <w:szCs w:val="16"/>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in thousands</w:t>
            </w:r>
          </w:p>
        </w:tc>
      </w:tr>
      <w:tr>
        <w:trPr>
          <w:trHeight w:val="257"/>
        </w:trPr>
        <w:tc>
          <w:tcPr>
            <w:tcW w:w="9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Balance as of January 1, 2016</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57"/>
        </w:trPr>
        <w:tc>
          <w:tcPr>
            <w:tcW w:w="9500" w:type="dxa"/>
            <w:vAlign w:val="bottom"/>
          </w:tcPr>
          <w:p>
            <w:pPr>
              <w:ind w:left="1120"/>
              <w:spacing w:after="0"/>
              <w:rPr>
                <w:sz w:val="20"/>
                <w:szCs w:val="20"/>
                <w:color w:val="auto"/>
              </w:rPr>
            </w:pPr>
            <w:r>
              <w:rPr>
                <w:rFonts w:ascii="Arial" w:cs="Arial" w:eastAsia="Arial" w:hAnsi="Arial"/>
                <w:sz w:val="18"/>
                <w:szCs w:val="18"/>
                <w:color w:val="auto"/>
              </w:rPr>
              <w:t>Additions during 2016</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1,319</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64"/>
        </w:trPr>
        <w:tc>
          <w:tcPr>
            <w:tcW w:w="95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Changes in fair value</w:t>
            </w:r>
          </w:p>
        </w:tc>
        <w:tc>
          <w:tcPr>
            <w:tcW w:w="72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57"/>
        </w:trPr>
        <w:tc>
          <w:tcPr>
            <w:tcW w:w="9500" w:type="dxa"/>
            <w:vAlign w:val="bottom"/>
          </w:tcPr>
          <w:p>
            <w:pPr>
              <w:ind w:left="1120"/>
              <w:spacing w:after="0"/>
              <w:rPr>
                <w:sz w:val="20"/>
                <w:szCs w:val="20"/>
                <w:color w:val="auto"/>
              </w:rPr>
            </w:pPr>
            <w:r>
              <w:rPr>
                <w:rFonts w:ascii="Arial" w:cs="Arial" w:eastAsia="Arial" w:hAnsi="Arial"/>
                <w:sz w:val="18"/>
                <w:szCs w:val="18"/>
                <w:color w:val="auto"/>
              </w:rPr>
              <w:t>Balance as of December 31, 2016</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57"/>
        </w:trPr>
        <w:tc>
          <w:tcPr>
            <w:tcW w:w="9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Conversion to warrants to purchase Series B preferred shares</w:t>
            </w:r>
          </w:p>
        </w:tc>
        <w:tc>
          <w:tcPr>
            <w:tcW w:w="1920" w:type="dxa"/>
            <w:vAlign w:val="bottom"/>
            <w:gridSpan w:val="6"/>
            <w:shd w:val="clear" w:color="auto" w:fill="CCEEFF"/>
          </w:tcPr>
          <w:p>
            <w:pPr>
              <w:jc w:val="right"/>
              <w:ind w:right="660"/>
              <w:spacing w:after="0"/>
              <w:rPr>
                <w:sz w:val="20"/>
                <w:szCs w:val="20"/>
                <w:color w:val="auto"/>
              </w:rPr>
            </w:pPr>
            <w:r>
              <w:rPr>
                <w:rFonts w:ascii="Arial" w:cs="Arial" w:eastAsia="Arial" w:hAnsi="Arial"/>
                <w:sz w:val="18"/>
                <w:szCs w:val="18"/>
                <w:color w:val="auto"/>
              </w:rPr>
              <w:t>(1,988)</w:t>
            </w:r>
          </w:p>
        </w:tc>
      </w:tr>
      <w:tr>
        <w:trPr>
          <w:trHeight w:val="264"/>
        </w:trPr>
        <w:tc>
          <w:tcPr>
            <w:tcW w:w="95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Changes in fair value</w:t>
            </w:r>
          </w:p>
        </w:tc>
        <w:tc>
          <w:tcPr>
            <w:tcW w:w="720" w:type="dxa"/>
            <w:vAlign w:val="bottom"/>
            <w:tcBorders>
              <w:bottom w:val="single" w:sz="8" w:color="CCEEFF"/>
            </w:tcBorders>
            <w:gridSpan w:val="2"/>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r>
      <w:tr>
        <w:trPr>
          <w:trHeight w:val="257"/>
        </w:trPr>
        <w:tc>
          <w:tcPr>
            <w:tcW w:w="95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Balance as of December 31, 2017</w:t>
            </w: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-2974975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w:t>
      </w:r>
    </w:p>
    <w:p>
      <w:pPr>
        <w:spacing w:after="0" w:line="54" w:lineRule="exact"/>
        <w:rPr>
          <w:sz w:val="20"/>
          <w:szCs w:val="20"/>
          <w:color w:val="auto"/>
        </w:rPr>
      </w:pPr>
    </w:p>
    <w:p>
      <w:pPr>
        <w:ind w:left="720" w:right="600" w:hanging="352"/>
        <w:spacing w:after="0" w:line="287" w:lineRule="auto"/>
        <w:tabs>
          <w:tab w:leader="none" w:pos="72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On January 29, 2014, the Company and Centillion entered into a Series A Preferred Share Purchase Agreement (the “Centillion preferred share purchase agreement”). According to the Centillion preferred share purchase agreement, Centillion purchased 4,172 of the Company’s preferred shares, for an aggregate purchase price of $2,000 thousand at a purchase price of $479.38 per share (the “per share purchase price”). The Company also issued to Centillion a warrant to purchase up to 1,043 of its applicable shares upon exercise of the warrant (“applicable shares”) at the per share purchase price. According to the Centillion Preferred share purchase agreement, upon the Company’s filing of a registration statement for an initial public offering with the SEC no later than June 29, 2014, or the “first milestone”, Centillion was required to purchase from the Company an additional 4,172 preferred shares at the per share purchase price (for additional proceeds of $2,000 thousand) and the Company was required to issue to Centillion a warrant to purchase an additional 1,043 applicable shares at the per share purchase price. Finally, pursuant to the terms of the Centillion preferred share purchase agreement, upon the consummation of an initial public offering of the Company’s ordinary shares on or prior to December 29, 2014, pursuant to which the ordinary shares are listed on the Nasdaq or AMEX, or a “Qualified IPO” and such event the “second milestone”, Centillion was required to purchase from the Company an additional 2,086 preferred shares at the per share purchase price (for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9" w:name="page200"/>
    <w:bookmarkEnd w:id="19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 (continued)</w:t>
      </w:r>
    </w:p>
    <w:p>
      <w:pPr>
        <w:spacing w:after="0" w:line="202" w:lineRule="exact"/>
        <w:rPr>
          <w:sz w:val="20"/>
          <w:szCs w:val="20"/>
          <w:color w:val="auto"/>
        </w:rPr>
      </w:pPr>
    </w:p>
    <w:p>
      <w:pPr>
        <w:ind w:left="720" w:right="340"/>
        <w:spacing w:after="0" w:line="264" w:lineRule="auto"/>
        <w:rPr>
          <w:sz w:val="20"/>
          <w:szCs w:val="20"/>
          <w:color w:val="auto"/>
        </w:rPr>
      </w:pPr>
      <w:r>
        <w:rPr>
          <w:rFonts w:ascii="Arial" w:cs="Arial" w:eastAsia="Arial" w:hAnsi="Arial"/>
          <w:sz w:val="18"/>
          <w:szCs w:val="18"/>
          <w:color w:val="auto"/>
        </w:rPr>
        <w:t>additional proceeds of $1,000 thousand) and the Company was required to issue to Centillion a warrant to purchase an additional 522 preferred shares at the per share purchase price. Centillion also had the right to acquire the preferred shares and warrant to be issued upon either of the milestones prior to the applicable milestone date.</w:t>
      </w:r>
    </w:p>
    <w:p>
      <w:pPr>
        <w:spacing w:after="0" w:line="73" w:lineRule="exact"/>
        <w:rPr>
          <w:sz w:val="20"/>
          <w:szCs w:val="20"/>
          <w:color w:val="auto"/>
        </w:rPr>
      </w:pPr>
    </w:p>
    <w:p>
      <w:pPr>
        <w:jc w:val="both"/>
        <w:ind w:left="720" w:right="200"/>
        <w:spacing w:after="0" w:line="264" w:lineRule="auto"/>
        <w:rPr>
          <w:sz w:val="20"/>
          <w:szCs w:val="20"/>
          <w:color w:val="auto"/>
        </w:rPr>
      </w:pPr>
      <w:r>
        <w:rPr>
          <w:rFonts w:ascii="Arial" w:cs="Arial" w:eastAsia="Arial" w:hAnsi="Arial"/>
          <w:sz w:val="18"/>
          <w:szCs w:val="18"/>
          <w:color w:val="auto"/>
        </w:rPr>
        <w:t>On June 18, 2014, the Company and Centillion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73" w:lineRule="exact"/>
        <w:rPr>
          <w:sz w:val="20"/>
          <w:szCs w:val="20"/>
          <w:color w:val="auto"/>
        </w:rPr>
      </w:pPr>
    </w:p>
    <w:p>
      <w:pPr>
        <w:ind w:left="720" w:right="40"/>
        <w:spacing w:after="0" w:line="270" w:lineRule="auto"/>
        <w:rPr>
          <w:sz w:val="20"/>
          <w:szCs w:val="20"/>
          <w:color w:val="auto"/>
        </w:rPr>
      </w:pPr>
      <w:r>
        <w:rPr>
          <w:rFonts w:ascii="Arial" w:cs="Arial" w:eastAsia="Arial" w:hAnsi="Arial"/>
          <w:sz w:val="17"/>
          <w:szCs w:val="17"/>
          <w:color w:val="auto"/>
        </w:rPr>
        <w:t>On January 21, 2015, the Company and Centillion entered into the second amendment to the Centillion preferred share purchase agreement, or the “second amendment”. Pursuant to the second amendment, Centillion exercised its right to acquire the preferred shares and warrant to be issued upon the first milestone although as of such date the Company had not filed a registration statement for its initial public offering and paid the Company $2,000 thousand. In consideration therefor, the Company also issued to Centillion an additional warrant, or the “additional Centillion warrant”. The additional Centillion warrant is exercisable upon (and for a period of one year following) the first to occur of a significant financing round, an M&amp;A event (as defined in the warrant agreement) or the Company’s initial public offering, to purchase up to $2,000 thousand of the type of shares issued in such a transaction at a 25% discount to the applicable price per share. In addition, pursuant to the second amendment the date for the second milestone was extended from May 1, 2015 to October 1, 2015. According to the second amendment as the second milestone was not achieved by October 1, 2015, Centillion has extended it until October 1, 2017.</w:t>
      </w:r>
    </w:p>
    <w:p>
      <w:pPr>
        <w:spacing w:after="0" w:line="74" w:lineRule="exact"/>
        <w:rPr>
          <w:sz w:val="20"/>
          <w:szCs w:val="20"/>
          <w:color w:val="auto"/>
        </w:rPr>
      </w:pPr>
    </w:p>
    <w:p>
      <w:pPr>
        <w:ind w:left="720"/>
        <w:spacing w:after="0" w:line="288" w:lineRule="auto"/>
        <w:rPr>
          <w:sz w:val="20"/>
          <w:szCs w:val="20"/>
          <w:color w:val="auto"/>
        </w:rPr>
      </w:pPr>
      <w:r>
        <w:rPr>
          <w:rFonts w:ascii="Arial" w:cs="Arial" w:eastAsia="Arial" w:hAnsi="Arial"/>
          <w:sz w:val="16"/>
          <w:szCs w:val="16"/>
          <w:color w:val="auto"/>
        </w:rPr>
        <w:t>In the course of 2014, the Company consummated the closings of the Series A Preferred Share Purchase Agreements it had entered into with each of WFI E Bio LLC., or WFI, and White Car Group Ltd., or “White Car”, and on January 11, 2015 the Company consummated the closing of the Series A Preferred Share Purchase Agreement it had entered into with HFN Trust Company 2013 Ltd., or “HFN Trust”, and such agreements together the “additional preferred share purchase agreements”. Pursuant to the terms of the additional share purchase agreements WFI, White Car and HFN Trust purchased from the Company 501, 417 and 21 preferred shares for an aggregate purchase price of $240 thousand, $200 thousand and $10 thousand, respectively, and the Company issued to each of WFI, White Car and HFN Trust a warrant to purchase up to 125, 104 and five of its applicable shares, respectively, each upon substantially the same terms as the Centillion preferred share purchase agreement and the form of warrants the Company issued to Centillion. The additional preferred share purchase agreements also provide for the issuance of preferred shares and warrants upon the achievement of those milestones set forth in the Centillion preferred share purchase agreement on terms substantially identical to those contained in the Centillion preferred share purchase agreement.</w:t>
      </w:r>
    </w:p>
    <w:p>
      <w:pPr>
        <w:spacing w:after="0" w:line="61" w:lineRule="exact"/>
        <w:rPr>
          <w:sz w:val="20"/>
          <w:szCs w:val="20"/>
          <w:color w:val="auto"/>
        </w:rPr>
      </w:pPr>
    </w:p>
    <w:p>
      <w:pPr>
        <w:ind w:left="720" w:right="20"/>
        <w:spacing w:after="0" w:line="273" w:lineRule="auto"/>
        <w:rPr>
          <w:sz w:val="20"/>
          <w:szCs w:val="20"/>
          <w:color w:val="auto"/>
        </w:rPr>
      </w:pPr>
      <w:r>
        <w:rPr>
          <w:rFonts w:ascii="Arial" w:cs="Arial" w:eastAsia="Arial" w:hAnsi="Arial"/>
          <w:sz w:val="17"/>
          <w:szCs w:val="17"/>
          <w:color w:val="auto"/>
        </w:rPr>
        <w:t>In March 2015, the Company entered into the first Amendment to each of the additional preferred share purchase agreements, which contained terms substantially identical to those contained in the second amendment to the Centillion preferred share purchase agreement, and the Company issued to each of WFI, White Car and HFN Trust an additional warrant, or together with the additional Centillion warrant the “additional warrants”, to purchase up to $240 thousand, $200 thousand and $10 thousand, respectively, upon terms substantially identical to those contained in the additional warrant the Company issued to Centillion in connection with the second amendment to the Centillion preferred share purchase agreement including the extension of the second milestone to October 1, 2017.</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0" w:name="page201"/>
    <w:bookmarkEnd w:id="20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 (continued)</w:t>
      </w:r>
    </w:p>
    <w:p>
      <w:pPr>
        <w:spacing w:after="0" w:line="202"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On July 20, 2017, the Company approved the amendment to the preferred share A purchase agreement with the preferred shareholders (the “Investors”). Pursuant to the amendment the date for the second milestone was extended from October 1, 2017 to July 20, 2019 and following the occurrence of the second milestone and until July 20, 2019, the Investors shall have the option, at their sole discretion, to invest any or all of the milestone investment amount. In addition, the exercise terms of the additional warrants granted to the Investors in 2015 were changed to a period of two year following the event of the first to occur of a significant financing round, an M&amp;A event (as defined in the warrant agreement) or the Company’s initial public offering.</w:t>
      </w:r>
    </w:p>
    <w:p>
      <w:pPr>
        <w:spacing w:after="0" w:line="85" w:lineRule="exact"/>
        <w:rPr>
          <w:sz w:val="20"/>
          <w:szCs w:val="20"/>
          <w:color w:val="auto"/>
        </w:rPr>
      </w:pPr>
    </w:p>
    <w:p>
      <w:pPr>
        <w:ind w:left="720" w:right="20"/>
        <w:spacing w:after="0" w:line="259" w:lineRule="auto"/>
        <w:rPr>
          <w:sz w:val="20"/>
          <w:szCs w:val="20"/>
          <w:color w:val="auto"/>
        </w:rPr>
      </w:pPr>
      <w:r>
        <w:rPr>
          <w:rFonts w:ascii="Arial" w:cs="Arial" w:eastAsia="Arial" w:hAnsi="Arial"/>
          <w:sz w:val="18"/>
          <w:szCs w:val="18"/>
          <w:color w:val="auto"/>
        </w:rPr>
        <w:t>Following the completion of the Preferred B Financing as defined in note 8b, the additional warrants that the Company previously issued in connection with the second amendment to the Centillion preferred share purchase agreement and the first amendment to the additional preferred share purchase agreements with certain other preferred A shareholders became warrants to purchase Series B-1 preferred shares at an exercise price of $681.585.</w:t>
      </w:r>
    </w:p>
    <w:p>
      <w:pPr>
        <w:spacing w:after="0" w:line="52" w:lineRule="exact"/>
        <w:rPr>
          <w:sz w:val="20"/>
          <w:szCs w:val="20"/>
          <w:color w:val="auto"/>
        </w:rPr>
      </w:pPr>
    </w:p>
    <w:p>
      <w:pPr>
        <w:ind w:left="720" w:right="700" w:hanging="352"/>
        <w:spacing w:after="0" w:line="302" w:lineRule="auto"/>
        <w:tabs>
          <w:tab w:leader="none" w:pos="72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In October and December 2017, the Company entered into a Series B preferred share purchase agreement (the “Preferred B Financing”), with certain investors, including D.N.A and Centillion (together, the “Investors”). Pursuant to the terms of the Series B preferred share purchase agreement, the Company issued and sold to the Investors 14,283 Series B preferred shares at a price per share of $908.78, for an aggregate purchase price of $12.98 million. The total consideration net of issuance costs which paid in cash was $12.087 million.</w:t>
      </w:r>
    </w:p>
    <w:p>
      <w:pPr>
        <w:spacing w:after="0" w:line="46" w:lineRule="exact"/>
        <w:rPr>
          <w:rFonts w:ascii="Arial" w:cs="Arial" w:eastAsia="Arial" w:hAnsi="Arial"/>
          <w:sz w:val="16"/>
          <w:szCs w:val="16"/>
          <w:b w:val="1"/>
          <w:bCs w:val="1"/>
          <w:color w:val="auto"/>
        </w:rPr>
      </w:pPr>
    </w:p>
    <w:p>
      <w:pPr>
        <w:ind w:left="720" w:right="1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addition, the Company issued to a broker dealer, a warrant to purchase 526 Series B preferred shares, at a price of $908.78 per share therefore, the Company recorded additional issuance costs of $198 thousand.</w:t>
      </w:r>
    </w:p>
    <w:p>
      <w:pPr>
        <w:spacing w:after="0" w:line="62" w:lineRule="exact"/>
        <w:rPr>
          <w:rFonts w:ascii="Arial" w:cs="Arial" w:eastAsia="Arial" w:hAnsi="Arial"/>
          <w:sz w:val="16"/>
          <w:szCs w:val="16"/>
          <w:b w:val="1"/>
          <w:bCs w:val="1"/>
          <w:color w:val="auto"/>
        </w:rPr>
      </w:pPr>
    </w:p>
    <w:p>
      <w:pPr>
        <w:ind w:left="720" w:right="4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Of the Investors, few related parties participated in the Preferred B Financing and purchased 7,089 Series B preferred shares, in the amount of $6,442 thousand.</w:t>
      </w:r>
    </w:p>
    <w:p>
      <w:pPr>
        <w:spacing w:after="0" w:line="62" w:lineRule="exact"/>
        <w:rPr>
          <w:rFonts w:ascii="Arial" w:cs="Arial" w:eastAsia="Arial" w:hAnsi="Arial"/>
          <w:sz w:val="16"/>
          <w:szCs w:val="16"/>
          <w:b w:val="1"/>
          <w:bCs w:val="1"/>
          <w:color w:val="auto"/>
        </w:rPr>
      </w:pPr>
    </w:p>
    <w:p>
      <w:pPr>
        <w:jc w:val="both"/>
        <w:ind w:left="720" w:right="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Preferred B Financing constitutes a Triggering Event as defined in the 2016 Convertible Loan and as a result, the entire loan amount under the 2016 Convertible Loan, together with accrued interest in the amount of $9.0 million, was automatically converted into 13,229 Series B-1 preferred shares at a price per share of $681.585.</w:t>
      </w:r>
    </w:p>
    <w:p>
      <w:pPr>
        <w:spacing w:after="0" w:line="73" w:lineRule="exact"/>
        <w:rPr>
          <w:rFonts w:ascii="Arial" w:cs="Arial" w:eastAsia="Arial" w:hAnsi="Arial"/>
          <w:sz w:val="16"/>
          <w:szCs w:val="16"/>
          <w:b w:val="1"/>
          <w:bCs w:val="1"/>
          <w:color w:val="auto"/>
        </w:rPr>
      </w:pPr>
    </w:p>
    <w:p>
      <w:pPr>
        <w:ind w:left="720" w:right="1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addition, as a result of the Preferred B Financing, the 2016 Warrants became warrants to purchase Series B preferred shares at an exercise price of $908.78.</w:t>
      </w:r>
    </w:p>
    <w:p>
      <w:pPr>
        <w:spacing w:after="0" w:line="62" w:lineRule="exact"/>
        <w:rPr>
          <w:rFonts w:ascii="Arial" w:cs="Arial" w:eastAsia="Arial" w:hAnsi="Arial"/>
          <w:sz w:val="16"/>
          <w:szCs w:val="16"/>
          <w:b w:val="1"/>
          <w:bCs w:val="1"/>
          <w:color w:val="auto"/>
        </w:rPr>
      </w:pPr>
    </w:p>
    <w:p>
      <w:pPr>
        <w:ind w:left="720" w:right="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As part of the automatic conversion of the 2016 Convertible Loans, the Company issued to four of its related parties 1,834 Series B-1 preferred shares, and their 2016 warrants became warrants to purchase 733 Series B preferred shares. The fair value of the preferred shares and warrants was $1,621 thousand and $264 thousand, respectively.</w:t>
      </w:r>
    </w:p>
    <w:p>
      <w:pPr>
        <w:spacing w:after="0" w:line="73" w:lineRule="exact"/>
        <w:rPr>
          <w:rFonts w:ascii="Arial" w:cs="Arial" w:eastAsia="Arial" w:hAnsi="Arial"/>
          <w:sz w:val="16"/>
          <w:szCs w:val="16"/>
          <w:b w:val="1"/>
          <w:bCs w:val="1"/>
          <w:color w:val="auto"/>
        </w:rPr>
      </w:pPr>
    </w:p>
    <w:p>
      <w:pPr>
        <w:ind w:left="720"/>
        <w:spacing w:after="0"/>
        <w:rPr>
          <w:rFonts w:ascii="Arial" w:cs="Arial" w:eastAsia="Arial" w:hAnsi="Arial"/>
          <w:sz w:val="16"/>
          <w:szCs w:val="16"/>
          <w:b w:val="1"/>
          <w:bCs w:val="1"/>
          <w:color w:val="auto"/>
        </w:rPr>
      </w:pPr>
      <w:r>
        <w:rPr>
          <w:rFonts w:ascii="Arial" w:cs="Arial" w:eastAsia="Arial" w:hAnsi="Arial"/>
          <w:sz w:val="17"/>
          <w:szCs w:val="17"/>
          <w:color w:val="auto"/>
        </w:rPr>
        <w:t>The rights of the Series B-1 preferred shares are identical in all respects (other than the price per share) to the Series B preferred shares.</w:t>
      </w:r>
    </w:p>
    <w:p>
      <w:pPr>
        <w:spacing w:after="0" w:line="128" w:lineRule="exact"/>
        <w:rPr>
          <w:rFonts w:ascii="Arial" w:cs="Arial" w:eastAsia="Arial" w:hAnsi="Arial"/>
          <w:sz w:val="16"/>
          <w:szCs w:val="16"/>
          <w:b w:val="1"/>
          <w:bCs w:val="1"/>
          <w:color w:val="auto"/>
        </w:rPr>
      </w:pPr>
    </w:p>
    <w:p>
      <w:pPr>
        <w:ind w:left="720" w:right="7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Following the completion of the Preferred B Financing the Company determined the amount of options to purchase ordinary shares of the Company, to be granted to Mr. Beshar and Dr. Garceau of 6,970 and 1,608, respectively. See also note 10(g).</w:t>
      </w:r>
    </w:p>
    <w:p>
      <w:pPr>
        <w:spacing w:after="0" w:line="48" w:lineRule="exact"/>
        <w:rPr>
          <w:rFonts w:ascii="Arial" w:cs="Arial" w:eastAsia="Arial" w:hAnsi="Arial"/>
          <w:sz w:val="16"/>
          <w:szCs w:val="16"/>
          <w:b w:val="1"/>
          <w:bCs w:val="1"/>
          <w:color w:val="auto"/>
        </w:rPr>
      </w:pPr>
    </w:p>
    <w:p>
      <w:pPr>
        <w:ind w:left="720" w:right="760" w:hanging="352"/>
        <w:spacing w:after="0" w:line="334" w:lineRule="auto"/>
        <w:tabs>
          <w:tab w:leader="none" w:pos="72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 xml:space="preserve">The preferred shares confer on the holders thereof all rights accruing to holders of Ordinary Shares in the Company, on an as-converted basis, and in addition, the preferred shares have the rights, preferences and privileges granted to the preferred shares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as follows:</w:t>
      </w:r>
    </w:p>
    <w:p>
      <w:pPr>
        <w:spacing w:after="0" w:line="1" w:lineRule="exact"/>
        <w:rPr>
          <w:rFonts w:ascii="Arial" w:cs="Arial" w:eastAsia="Arial" w:hAnsi="Arial"/>
          <w:sz w:val="16"/>
          <w:szCs w:val="16"/>
          <w:b w:val="1"/>
          <w:bCs w:val="1"/>
          <w:color w:val="auto"/>
        </w:rPr>
      </w:pPr>
    </w:p>
    <w:p>
      <w:pPr>
        <w:jc w:val="both"/>
        <w:ind w:left="1080" w:right="1280" w:hanging="352"/>
        <w:spacing w:after="0" w:line="264" w:lineRule="auto"/>
        <w:tabs>
          <w:tab w:leader="none" w:pos="10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holder of preferred shares has the right to convert such preferred shares into the Company’s ordinary shares at the then-applicable conversion price. In addition, the preferred shares will be automatically converted into ordinary shares at the then-applicable conversion price upon the consummation of a Qualified IPO.</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1" w:name="page202"/>
    <w:bookmarkEnd w:id="20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 (continued)</w:t>
      </w:r>
    </w:p>
    <w:p>
      <w:pPr>
        <w:spacing w:after="0" w:line="162" w:lineRule="exact"/>
        <w:rPr>
          <w:sz w:val="20"/>
          <w:szCs w:val="20"/>
          <w:color w:val="auto"/>
        </w:rPr>
      </w:pPr>
    </w:p>
    <w:p>
      <w:pPr>
        <w:ind w:left="1080" w:right="580" w:hanging="352"/>
        <w:spacing w:after="0" w:line="287" w:lineRule="auto"/>
        <w:tabs>
          <w:tab w:leader="none" w:pos="10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any liquidation, bankruptcy, reorganization, dissolution or winding up of the Company as defined in Article 66(d) of the Company’s Fifth Amended and Restated Articles of Association, whether voluntary or involuntary (each, a “Liquidation Event”) or “Deemed Liquidation Event”, the assets available for distribution will be applied, first to the holders of preferred shares. Each preferred share shall be entitled to receive an amount per share equal to the original preferred share price, plus all declared but unpaid dividends and annual 5% interest on the original preferred share price (“Preferred Shares Preference”). If such assets available for distribution shall be insufficient to permit the payment of the full Preferred Shares Preference, then the assets available for distribution shall be distributed pro rata among the holders of the Preferred Shares. Any remaining assets available for distribution to shareholders shall be distributed among the holders of Ordinary Shares and Preferred Shares on a pro rata basis and on an as-converted basis. In the event that the holders of Preferred Shares, upon distribution pro rata to all shareholders on as converted basis receive an aggregate amount per Preferred Share greater than three (3) times the original preferred share price then the holders of preferred shares shall not be entitled to the Preferred Shares Preference described above and all the assets available for distribution shall be distributed among the holders of ordinary shares and preferred shares on a pro rata basis on an as-converted basis.</w:t>
      </w:r>
    </w:p>
    <w:p>
      <w:pPr>
        <w:spacing w:after="0" w:line="114" w:lineRule="exact"/>
        <w:rPr>
          <w:rFonts w:ascii="Arial" w:cs="Arial" w:eastAsia="Arial" w:hAnsi="Arial"/>
          <w:sz w:val="16"/>
          <w:szCs w:val="16"/>
          <w:color w:val="auto"/>
        </w:rPr>
      </w:pPr>
    </w:p>
    <w:p>
      <w:pPr>
        <w:ind w:left="720" w:right="680" w:hanging="352"/>
        <w:spacing w:after="0" w:line="257" w:lineRule="auto"/>
        <w:tabs>
          <w:tab w:leader="none" w:pos="72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For accounting of purposes, the preferred shares are classified as a financial liability considering, inter alia, the deemed liquidation events mechanism described above. In addition, the conversion ratio of Series A preferred shares, Series B preferred shares and Series B-1 preferred shares into ordinary shares is subject to certain adjustments, which do not meet the ‘fixed for fixed’ requirement of IAS 32. Therefore, the conversion option represents an embedded derivative, which should be bifurcated and accounted for separately at fair value through profit or loss.</w:t>
      </w:r>
    </w:p>
    <w:p>
      <w:pPr>
        <w:spacing w:after="0" w:line="80"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Company elected to designate the entire instrument at fair value through profit or loss, as permitted by IAS 39.</w:t>
      </w:r>
    </w:p>
    <w:p>
      <w:pPr>
        <w:spacing w:after="0" w:line="117" w:lineRule="exact"/>
        <w:rPr>
          <w:rFonts w:ascii="Arial" w:cs="Arial" w:eastAsia="Arial" w:hAnsi="Arial"/>
          <w:sz w:val="18"/>
          <w:szCs w:val="18"/>
          <w:b w:val="1"/>
          <w:bCs w:val="1"/>
          <w:color w:val="auto"/>
        </w:rPr>
      </w:pPr>
    </w:p>
    <w:p>
      <w:pPr>
        <w:ind w:left="72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warrants to purchase preferred shares issued concurrently with the Series A preferred shares, Series B preferred shares and the Series B-1 preferred shares also meet the definition of a financial liability since they are exercisable into a financial liability. These warrants are measured at fair value through profit or loss at each balance sheet date.</w:t>
      </w:r>
    </w:p>
    <w:p>
      <w:pPr>
        <w:spacing w:after="0" w:line="73" w:lineRule="exact"/>
        <w:rPr>
          <w:rFonts w:ascii="Arial" w:cs="Arial" w:eastAsia="Arial" w:hAnsi="Arial"/>
          <w:sz w:val="18"/>
          <w:szCs w:val="18"/>
          <w:b w:val="1"/>
          <w:bCs w:val="1"/>
          <w:color w:val="auto"/>
        </w:rPr>
      </w:pPr>
    </w:p>
    <w:p>
      <w:pPr>
        <w:ind w:left="7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Before the change in condition in July 2017, the liability for future issuances of preferred shares and warrants upon fulfillment of the second milestones as described in a) above, constituted contingent forward contracts, and therefore accounted for at fair value through profit or loss at each balance sheet date.</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2" w:name="page203"/>
    <w:bookmarkEnd w:id="20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 (continued)</w:t>
      </w:r>
    </w:p>
    <w:p>
      <w:pPr>
        <w:spacing w:after="0" w:line="162" w:lineRule="exact"/>
        <w:rPr>
          <w:sz w:val="20"/>
          <w:szCs w:val="20"/>
          <w:color w:val="auto"/>
        </w:rPr>
      </w:pPr>
    </w:p>
    <w:p>
      <w:pPr>
        <w:ind w:left="720" w:hanging="352"/>
        <w:spacing w:after="0"/>
        <w:tabs>
          <w:tab w:leader="none" w:pos="72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The table below presents the movements in the three components during 2017 and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Warrants to</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purchase</w:t>
            </w: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Liability to</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preferred</w:t>
            </w: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issue preferred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Preferred</w:t>
            </w: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shares and</w:t>
            </w:r>
          </w:p>
        </w:tc>
        <w:tc>
          <w:tcPr>
            <w:tcW w:w="1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shares and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shares</w:t>
            </w:r>
          </w:p>
        </w:tc>
        <w:tc>
          <w:tcPr>
            <w:tcW w:w="420" w:type="dxa"/>
            <w:vAlign w:val="bottom"/>
          </w:tcPr>
          <w:p>
            <w:pPr>
              <w:spacing w:after="0"/>
              <w:rPr>
                <w:sz w:val="16"/>
                <w:szCs w:val="16"/>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shares</w:t>
            </w:r>
          </w:p>
        </w:tc>
        <w:tc>
          <w:tcPr>
            <w:tcW w:w="1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6"/>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3"/>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U.S. dollars in thousands</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5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13,062</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4,117</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2,154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19,333</w:t>
            </w:r>
          </w:p>
        </w:tc>
        <w:tc>
          <w:tcPr>
            <w:tcW w:w="160" w:type="dxa"/>
            <w:vAlign w:val="bottom"/>
            <w:shd w:val="clear" w:color="auto" w:fill="CCEEFF"/>
          </w:tcPr>
          <w:p>
            <w:pPr>
              <w:spacing w:after="0"/>
              <w:rPr>
                <w:sz w:val="22"/>
                <w:szCs w:val="22"/>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Changes in fair value</w:t>
            </w:r>
          </w:p>
        </w:tc>
        <w:tc>
          <w:tcPr>
            <w:tcW w:w="420" w:type="dxa"/>
            <w:vAlign w:val="bottom"/>
            <w:gridSpan w:val="2"/>
          </w:tcPr>
          <w:p>
            <w:pPr>
              <w:spacing w:after="0"/>
              <w:rPr>
                <w:sz w:val="22"/>
                <w:szCs w:val="2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(2,031)</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(954)</w:t>
            </w:r>
          </w:p>
        </w:tc>
        <w:tc>
          <w:tcPr>
            <w:tcW w:w="1820" w:type="dxa"/>
            <w:vAlign w:val="bottom"/>
            <w:gridSpan w:val="3"/>
          </w:tcPr>
          <w:p>
            <w:pPr>
              <w:jc w:val="right"/>
              <w:ind w:right="760"/>
              <w:spacing w:after="0"/>
              <w:rPr>
                <w:sz w:val="20"/>
                <w:szCs w:val="20"/>
                <w:color w:val="auto"/>
              </w:rPr>
            </w:pPr>
            <w:r>
              <w:rPr>
                <w:rFonts w:ascii="Arial" w:cs="Arial" w:eastAsia="Arial" w:hAnsi="Arial"/>
                <w:sz w:val="18"/>
                <w:szCs w:val="18"/>
                <w:color w:val="auto"/>
              </w:rPr>
              <w:t>(1,881)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(4,866)</w:t>
            </w:r>
          </w:p>
        </w:tc>
      </w:tr>
      <w:tr>
        <w:trPr>
          <w:trHeight w:val="20"/>
        </w:trPr>
        <w:tc>
          <w:tcPr>
            <w:tcW w:w="6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420" w:type="dxa"/>
            <w:vAlign w:val="bottom"/>
            <w:gridSpan w:val="2"/>
            <w:shd w:val="clear" w:color="auto" w:fill="CCEEFF"/>
          </w:tcPr>
          <w:p>
            <w:pPr>
              <w:spacing w:after="0"/>
              <w:rPr>
                <w:sz w:val="22"/>
                <w:szCs w:val="22"/>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11,031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44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14,467</w:t>
            </w:r>
          </w:p>
        </w:tc>
        <w:tc>
          <w:tcPr>
            <w:tcW w:w="160" w:type="dxa"/>
            <w:vAlign w:val="bottom"/>
            <w:shd w:val="clear" w:color="auto" w:fill="CCEEFF"/>
          </w:tcPr>
          <w:p>
            <w:pPr>
              <w:spacing w:after="0"/>
              <w:rPr>
                <w:sz w:val="22"/>
                <w:szCs w:val="22"/>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w w:val="95"/>
              </w:rPr>
              <w:t>Issuance of Series B preferred shares and warrants to purchase Series B preferred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6360" w:type="dxa"/>
            <w:vAlign w:val="bottom"/>
          </w:tcPr>
          <w:p>
            <w:pPr>
              <w:ind w:left="180"/>
              <w:spacing w:after="0"/>
              <w:rPr>
                <w:sz w:val="20"/>
                <w:szCs w:val="20"/>
                <w:color w:val="auto"/>
              </w:rPr>
            </w:pPr>
            <w:r>
              <w:rPr>
                <w:rFonts w:ascii="Arial" w:cs="Arial" w:eastAsia="Arial" w:hAnsi="Arial"/>
                <w:sz w:val="18"/>
                <w:szCs w:val="18"/>
                <w:color w:val="auto"/>
              </w:rPr>
              <w:t>shares</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color w:val="auto"/>
              </w:rPr>
              <w:t>12,980</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198</w:t>
            </w:r>
          </w:p>
        </w:tc>
        <w:tc>
          <w:tcPr>
            <w:tcW w:w="540" w:type="dxa"/>
            <w:vAlign w:val="bottom"/>
          </w:tcPr>
          <w:p>
            <w:pPr>
              <w:spacing w:after="0"/>
              <w:rPr>
                <w:sz w:val="20"/>
                <w:szCs w:val="20"/>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13,178</w:t>
            </w:r>
          </w:p>
        </w:tc>
        <w:tc>
          <w:tcPr>
            <w:tcW w:w="160" w:type="dxa"/>
            <w:vAlign w:val="bottom"/>
          </w:tcPr>
          <w:p>
            <w:pPr>
              <w:spacing w:after="0"/>
              <w:rPr>
                <w:sz w:val="20"/>
                <w:szCs w:val="20"/>
                <w:color w:val="auto"/>
              </w:rPr>
            </w:pPr>
          </w:p>
        </w:tc>
      </w:tr>
      <w:tr>
        <w:trPr>
          <w:trHeight w:val="23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2"/>
              </w:rPr>
              <w:t>Conversion of 2016 Convertible Loan and warrants to series B-1 preferred shares and</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4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to purchase Series B preferred shares</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11,695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13,683</w:t>
            </w:r>
          </w:p>
        </w:tc>
        <w:tc>
          <w:tcPr>
            <w:tcW w:w="160" w:type="dxa"/>
            <w:vAlign w:val="bottom"/>
            <w:shd w:val="clear" w:color="auto" w:fill="CCEEFF"/>
          </w:tcPr>
          <w:p>
            <w:pPr>
              <w:spacing w:after="0"/>
              <w:rPr>
                <w:sz w:val="21"/>
                <w:szCs w:val="21"/>
                <w:color w:val="auto"/>
              </w:rPr>
            </w:pPr>
          </w:p>
        </w:tc>
      </w:tr>
      <w:tr>
        <w:trPr>
          <w:trHeight w:val="250"/>
        </w:trPr>
        <w:tc>
          <w:tcPr>
            <w:tcW w:w="6360" w:type="dxa"/>
            <w:vAlign w:val="bottom"/>
          </w:tcPr>
          <w:p>
            <w:pPr>
              <w:spacing w:after="0"/>
              <w:rPr>
                <w:sz w:val="20"/>
                <w:szCs w:val="20"/>
                <w:color w:val="auto"/>
              </w:rPr>
            </w:pPr>
            <w:r>
              <w:rPr>
                <w:rFonts w:ascii="Arial" w:cs="Arial" w:eastAsia="Arial" w:hAnsi="Arial"/>
                <w:sz w:val="18"/>
                <w:szCs w:val="18"/>
                <w:color w:val="auto"/>
                <w:w w:val="92"/>
              </w:rPr>
              <w:t>Change of conditions of the liability to issue preferred shares and warrants to warrants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440" w:type="dxa"/>
            <w:vAlign w:val="bottom"/>
          </w:tcPr>
          <w:p>
            <w:pPr>
              <w:spacing w:after="0"/>
              <w:rPr>
                <w:sz w:val="21"/>
                <w:szCs w:val="21"/>
                <w:color w:val="auto"/>
              </w:rPr>
            </w:pPr>
          </w:p>
        </w:tc>
        <w:tc>
          <w:tcPr>
            <w:tcW w:w="1820" w:type="dxa"/>
            <w:vAlign w:val="bottom"/>
            <w:gridSpan w:val="3"/>
          </w:tcPr>
          <w:p>
            <w:pPr>
              <w:jc w:val="right"/>
              <w:ind w:right="760"/>
              <w:spacing w:after="0"/>
              <w:rPr>
                <w:sz w:val="20"/>
                <w:szCs w:val="20"/>
                <w:color w:val="auto"/>
              </w:rPr>
            </w:pPr>
            <w:r>
              <w:rPr>
                <w:rFonts w:ascii="Arial" w:cs="Arial" w:eastAsia="Arial" w:hAnsi="Arial"/>
                <w:sz w:val="18"/>
                <w:szCs w:val="18"/>
                <w:color w:val="auto"/>
              </w:rPr>
              <w:t>(1,160)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420" w:type="dxa"/>
            <w:vAlign w:val="bottom"/>
            <w:gridSpan w:val="2"/>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(2,251)</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(1,111)</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887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(2,475)</w:t>
            </w:r>
          </w:p>
        </w:tc>
      </w:tr>
      <w:tr>
        <w:trPr>
          <w:trHeight w:val="20"/>
        </w:trPr>
        <w:tc>
          <w:tcPr>
            <w:tcW w:w="6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420" w:type="dxa"/>
            <w:vAlign w:val="bottom"/>
            <w:gridSpan w:val="2"/>
          </w:tcPr>
          <w:p>
            <w:pPr>
              <w:spacing w:after="0"/>
              <w:rPr>
                <w:sz w:val="22"/>
                <w:szCs w:val="2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33,455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5,398</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38,853</w:t>
            </w:r>
          </w:p>
        </w:tc>
        <w:tc>
          <w:tcPr>
            <w:tcW w:w="160" w:type="dxa"/>
            <w:vAlign w:val="bottom"/>
          </w:tcPr>
          <w:p>
            <w:pPr>
              <w:spacing w:after="0"/>
              <w:rPr>
                <w:sz w:val="22"/>
                <w:szCs w:val="22"/>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-1303020</wp:posOffset>
            </wp:positionV>
            <wp:extent cx="1028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68262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-1765935</wp:posOffset>
            </wp:positionV>
            <wp:extent cx="137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-1765935</wp:posOffset>
            </wp:positionV>
            <wp:extent cx="137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-1765935</wp:posOffset>
            </wp:positionV>
            <wp:extent cx="137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720" w:right="1000" w:hanging="352"/>
        <w:spacing w:after="0" w:line="342" w:lineRule="auto"/>
        <w:tabs>
          <w:tab w:leader="none" w:pos="72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The Company prepared valuations of the fair value of the instruments described above (Level 3 valuations) using a combination of the Probability-Weighted Expected Return Method and Back Solve option pricing method model. The following parameters were used: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940" w:type="dxa"/>
            <w:vAlign w:val="bottom"/>
            <w:gridSpan w:val="3"/>
          </w:tcPr>
          <w:p>
            <w:pPr>
              <w:ind w:left="10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6"/>
        </w:trPr>
        <w:tc>
          <w:tcPr>
            <w:tcW w:w="85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8"/>
        </w:trPr>
        <w:tc>
          <w:tcPr>
            <w:tcW w:w="8560" w:type="dxa"/>
            <w:vAlign w:val="bottom"/>
          </w:tcPr>
          <w:p>
            <w:pPr>
              <w:spacing w:after="0"/>
              <w:rPr>
                <w:sz w:val="17"/>
                <w:szCs w:val="17"/>
                <w:color w:val="auto"/>
              </w:rPr>
            </w:pPr>
          </w:p>
        </w:tc>
        <w:tc>
          <w:tcPr>
            <w:tcW w:w="13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6"/>
        </w:trPr>
        <w:tc>
          <w:tcPr>
            <w:tcW w:w="85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Preferred B price per share*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$908.78</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560" w:type="dxa"/>
            <w:vAlign w:val="bottom"/>
          </w:tcPr>
          <w:p>
            <w:pPr>
              <w:ind w:left="1140"/>
              <w:spacing w:after="0"/>
              <w:rPr>
                <w:sz w:val="20"/>
                <w:szCs w:val="20"/>
                <w:color w:val="auto"/>
              </w:rPr>
            </w:pPr>
            <w:r>
              <w:rPr>
                <w:rFonts w:ascii="Arial" w:cs="Arial" w:eastAsia="Arial" w:hAnsi="Arial"/>
                <w:sz w:val="18"/>
                <w:szCs w:val="18"/>
                <w:color w:val="auto"/>
              </w:rPr>
              <w:t>Value of equity**</w:t>
            </w:r>
          </w:p>
        </w:tc>
        <w:tc>
          <w:tcPr>
            <w:tcW w:w="1940" w:type="dxa"/>
            <w:vAlign w:val="bottom"/>
            <w:gridSpan w:val="3"/>
          </w:tcPr>
          <w:p>
            <w:pPr>
              <w:ind w:left="480"/>
              <w:spacing w:after="0"/>
              <w:rPr>
                <w:sz w:val="20"/>
                <w:szCs w:val="20"/>
                <w:color w:val="auto"/>
              </w:rPr>
            </w:pPr>
            <w:r>
              <w:rPr>
                <w:rFonts w:ascii="Arial" w:cs="Arial" w:eastAsia="Arial" w:hAnsi="Arial"/>
                <w:sz w:val="18"/>
                <w:szCs w:val="18"/>
                <w:color w:val="auto"/>
              </w:rPr>
              <w:t>$78 million</w:t>
            </w:r>
          </w:p>
        </w:tc>
        <w:tc>
          <w:tcPr>
            <w:tcW w:w="920" w:type="dxa"/>
            <w:vAlign w:val="bottom"/>
          </w:tcPr>
          <w:p>
            <w:pPr>
              <w:jc w:val="right"/>
              <w:spacing w:after="0"/>
              <w:rPr>
                <w:sz w:val="20"/>
                <w:szCs w:val="20"/>
                <w:color w:val="auto"/>
              </w:rPr>
            </w:pPr>
            <w:r>
              <w:rPr>
                <w:rFonts w:ascii="Arial" w:cs="Arial" w:eastAsia="Arial" w:hAnsi="Arial"/>
                <w:sz w:val="18"/>
                <w:szCs w:val="18"/>
                <w:color w:val="auto"/>
              </w:rPr>
              <w:t>$71 million</w:t>
            </w:r>
          </w:p>
        </w:tc>
      </w:tr>
      <w:tr>
        <w:trPr>
          <w:trHeight w:val="257"/>
        </w:trPr>
        <w:tc>
          <w:tcPr>
            <w:tcW w:w="8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Volatility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8560" w:type="dxa"/>
            <w:vAlign w:val="bottom"/>
          </w:tcPr>
          <w:p>
            <w:pPr>
              <w:ind w:left="1140"/>
              <w:spacing w:after="0"/>
              <w:rPr>
                <w:sz w:val="20"/>
                <w:szCs w:val="20"/>
                <w:color w:val="auto"/>
              </w:rPr>
            </w:pPr>
            <w:r>
              <w:rPr>
                <w:rFonts w:ascii="Arial" w:cs="Arial" w:eastAsia="Arial" w:hAnsi="Arial"/>
                <w:sz w:val="18"/>
                <w:szCs w:val="18"/>
                <w:color w:val="auto"/>
              </w:rPr>
              <w:t>Probability of entering Phase 2b/3</w:t>
            </w: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8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Probability for IPO</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64058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0588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146050</wp:posOffset>
            </wp:positionV>
            <wp:extent cx="16122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03" w:lineRule="exact"/>
        <w:rPr>
          <w:sz w:val="20"/>
          <w:szCs w:val="20"/>
          <w:color w:val="auto"/>
        </w:rPr>
      </w:pPr>
    </w:p>
    <w:p>
      <w:pPr>
        <w:ind w:left="1080" w:hanging="35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According to agreement as described in note 8b.</w:t>
      </w:r>
    </w:p>
    <w:p>
      <w:pPr>
        <w:spacing w:after="0" w:line="104" w:lineRule="exact"/>
        <w:rPr>
          <w:sz w:val="20"/>
          <w:szCs w:val="20"/>
          <w:color w:val="auto"/>
        </w:rPr>
      </w:pPr>
    </w:p>
    <w:p>
      <w:pPr>
        <w:ind w:left="720" w:right="20" w:firstLine="8"/>
        <w:spacing w:after="0" w:line="264" w:lineRule="auto"/>
        <w:tabs>
          <w:tab w:leader="none" w:pos="9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value of equity as of December 31, 2017 was based on market approach as described in note 6. The value of equity as of December 31, 2016 was based on a valuation performed by the Company as detailed in note 6. The value of equity includes ordinary shares, preferred shares, warrants and options to preferred shares and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67" w:lineRule="exact"/>
        <w:rPr>
          <w:sz w:val="20"/>
          <w:szCs w:val="20"/>
          <w:color w:val="auto"/>
        </w:rPr>
      </w:pPr>
    </w:p>
    <w:p>
      <w:pPr>
        <w:jc w:val="both"/>
        <w:ind w:left="720" w:right="700" w:hanging="352"/>
        <w:spacing w:after="0" w:line="264" w:lineRule="auto"/>
        <w:tabs>
          <w:tab w:leader="none" w:pos="72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On June 29, 2014, the Company entered into a lease agreement for the building it uses in consideration of approximately $58 thousand per year. The lease agreement expired on June 30, 2016 and the Company utilized its option to extend it for an additional one-year period until June 30, 2017.</w:t>
      </w:r>
    </w:p>
    <w:p>
      <w:pPr>
        <w:spacing w:after="0" w:line="73" w:lineRule="exact"/>
        <w:rPr>
          <w:rFonts w:ascii="Arial" w:cs="Arial" w:eastAsia="Arial" w:hAnsi="Arial"/>
          <w:sz w:val="18"/>
          <w:szCs w:val="18"/>
          <w:b w:val="1"/>
          <w:bCs w:val="1"/>
          <w:color w:val="auto"/>
        </w:rPr>
      </w:pPr>
    </w:p>
    <w:p>
      <w:pPr>
        <w:ind w:left="7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2017, the Company entered into a new lease agreement for the building it uses in consideration of approximately $61 thousand per year. The lease agreement will expire on June 30, 2023 with a onetime option for the Company to early terminate the agreement on June 30, 2020 subject to a notice period of 6 months.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(continued)</w:t>
      </w:r>
    </w:p>
    <w:p>
      <w:pPr>
        <w:spacing w:after="0" w:line="162" w:lineRule="exact"/>
        <w:rPr>
          <w:sz w:val="20"/>
          <w:szCs w:val="20"/>
          <w:color w:val="auto"/>
        </w:rPr>
      </w:pPr>
    </w:p>
    <w:p>
      <w:pPr>
        <w:ind w:left="720" w:right="600" w:hanging="352"/>
        <w:spacing w:after="0" w:line="264" w:lineRule="auto"/>
        <w:tabs>
          <w:tab w:leader="none" w:pos="72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In 2015 and 2017, the Company entered into operating lease agreements for three vehicles. The leases will expire during the years 2018 and 2020. In January 2018 the agreement for one vehicle renewed and will expire in 2020. The projected annual lease payments are approximately $29 thousand per year.</w:t>
      </w:r>
    </w:p>
    <w:p>
      <w:pPr>
        <w:spacing w:after="0" w:line="59" w:lineRule="exact"/>
        <w:rPr>
          <w:rFonts w:ascii="Arial" w:cs="Arial" w:eastAsia="Arial" w:hAnsi="Arial"/>
          <w:sz w:val="18"/>
          <w:szCs w:val="18"/>
          <w:b w:val="1"/>
          <w:bCs w:val="1"/>
          <w:color w:val="auto"/>
        </w:rPr>
      </w:pPr>
    </w:p>
    <w:p>
      <w:pPr>
        <w:ind w:left="720" w:hanging="352"/>
        <w:spacing w:after="0"/>
        <w:tabs>
          <w:tab w:leader="none" w:pos="72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The Company is committed to pay royalties to Oramed — see also note 6.</w:t>
      </w:r>
    </w:p>
    <w:p>
      <w:pPr>
        <w:spacing w:after="0" w:line="90" w:lineRule="exact"/>
        <w:rPr>
          <w:rFonts w:ascii="Arial" w:cs="Arial" w:eastAsia="Arial" w:hAnsi="Arial"/>
          <w:sz w:val="18"/>
          <w:szCs w:val="18"/>
          <w:b w:val="1"/>
          <w:bCs w:val="1"/>
          <w:color w:val="auto"/>
        </w:rPr>
      </w:pPr>
    </w:p>
    <w:p>
      <w:pPr>
        <w:ind w:left="720" w:right="560" w:hanging="352"/>
        <w:spacing w:after="0" w:line="270" w:lineRule="auto"/>
        <w:tabs>
          <w:tab w:leader="none" w:pos="720" w:val="left"/>
        </w:tabs>
        <w:numPr>
          <w:ilvl w:val="0"/>
          <w:numId w:val="124"/>
        </w:numPr>
        <w:rPr>
          <w:rFonts w:ascii="Arial" w:cs="Arial" w:eastAsia="Arial" w:hAnsi="Arial"/>
          <w:sz w:val="17"/>
          <w:szCs w:val="17"/>
          <w:b w:val="1"/>
          <w:bCs w:val="1"/>
          <w:color w:val="auto"/>
        </w:rPr>
      </w:pPr>
      <w:r>
        <w:rPr>
          <w:rFonts w:ascii="Arial" w:cs="Arial" w:eastAsia="Arial" w:hAnsi="Arial"/>
          <w:sz w:val="17"/>
          <w:szCs w:val="17"/>
          <w:color w:val="auto"/>
        </w:rPr>
        <w:t>The Company is committed to pay royalties to the Government of Israel on proceeds from sales of products in the research and development of which the Government participates by way of grants. At the time the grants were received, successful development of the related project was not assumed. In the case of failure of the project that was partly financed by the Government of Israel, the Company is not obligated to pay any such royalties. Under the terms of the Company’s funding from the Israeli Government, royalties are payable on sales of products developed from projects so funded of 3% during the first three years, from commencement of revenues, 4% during the subsequent three years and 5% commencing the seventh year up to 100% of the amount of the grant received by the Company (dollar linked) with the addition of an annual interest based on Libor. The amount that must be repaid may be increased to three times the amount of the grant received, and the rate of royalties may be accelerated, if manufacturing of the products developed with the grant money is transferred outside of the State of Israel. As of December 31, 2017, the total royalty amount that would be payable by the Company, before the additional Libor interest, is approximately $460 thousand.</w:t>
      </w:r>
    </w:p>
    <w:p>
      <w:pPr>
        <w:spacing w:after="0" w:line="56" w:lineRule="exact"/>
        <w:rPr>
          <w:rFonts w:ascii="Arial" w:cs="Arial" w:eastAsia="Arial" w:hAnsi="Arial"/>
          <w:sz w:val="17"/>
          <w:szCs w:val="17"/>
          <w:b w:val="1"/>
          <w:bCs w:val="1"/>
          <w:color w:val="auto"/>
        </w:rPr>
      </w:pPr>
    </w:p>
    <w:p>
      <w:pPr>
        <w:ind w:left="720" w:right="560" w:hanging="352"/>
        <w:spacing w:after="0" w:line="279" w:lineRule="auto"/>
        <w:tabs>
          <w:tab w:leader="none" w:pos="720" w:val="left"/>
        </w:tabs>
        <w:numPr>
          <w:ilvl w:val="0"/>
          <w:numId w:val="124"/>
        </w:numPr>
        <w:rPr>
          <w:rFonts w:ascii="Arial" w:cs="Arial" w:eastAsia="Arial" w:hAnsi="Arial"/>
          <w:sz w:val="17"/>
          <w:szCs w:val="17"/>
          <w:b w:val="1"/>
          <w:bCs w:val="1"/>
          <w:color w:val="auto"/>
        </w:rPr>
      </w:pPr>
      <w:r>
        <w:rPr>
          <w:rFonts w:ascii="Arial" w:cs="Arial" w:eastAsia="Arial" w:hAnsi="Arial"/>
          <w:sz w:val="17"/>
          <w:szCs w:val="17"/>
          <w:color w:val="auto"/>
        </w:rPr>
        <w:t>Emisphere Technologies, Inc., or Emisphere, has notified the Company that it believes that it is the exclusive owner of certain U.S. and related foreign patents and patent applications the Company acquired from Oramed Ltd. Emisphere has not initiated a legal proceeding as of the date of the approval of this financial statements. The matter is still in its early stages. If Emisphere were to initiate a legal proceeding, we would vigorously defend against such claim and believe that Emisphere’s notification is without merit.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w:t>
      </w:r>
    </w:p>
    <w:p>
      <w:pPr>
        <w:spacing w:after="0" w:line="63"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Composed of ordinary shares of NIS 0.01 par value,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Number of ordinary shares</w:t>
            </w:r>
          </w:p>
        </w:tc>
      </w:tr>
      <w:tr>
        <w:trPr>
          <w:trHeight w:val="26"/>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r>
      <w:tr>
        <w:trPr>
          <w:trHeight w:val="198"/>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26"/>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2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7"/>
        </w:trPr>
        <w:tc>
          <w:tcPr>
            <w:tcW w:w="89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Authorized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8940" w:type="dxa"/>
            <w:vAlign w:val="bottom"/>
            <w:gridSpan w:val="2"/>
          </w:tcPr>
          <w:p>
            <w:pPr>
              <w:ind w:left="1100"/>
              <w:spacing w:after="0"/>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34,544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34,544</w:t>
            </w:r>
          </w:p>
        </w:tc>
        <w:tc>
          <w:tcPr>
            <w:tcW w:w="26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64401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168" w:lineRule="exact"/>
        <w:rPr>
          <w:sz w:val="20"/>
          <w:szCs w:val="20"/>
          <w:color w:val="auto"/>
        </w:rPr>
      </w:pPr>
    </w:p>
    <w:p>
      <w:pPr>
        <w:jc w:val="both"/>
        <w:ind w:left="720" w:right="380"/>
        <w:spacing w:after="0" w:line="312" w:lineRule="auto"/>
        <w:rPr>
          <w:sz w:val="20"/>
          <w:szCs w:val="20"/>
          <w:color w:val="auto"/>
        </w:rPr>
      </w:pPr>
      <w:r>
        <w:rPr>
          <w:rFonts w:ascii="Arial" w:cs="Arial" w:eastAsia="Arial" w:hAnsi="Arial"/>
          <w:sz w:val="16"/>
          <w:szCs w:val="16"/>
          <w:color w:val="auto"/>
        </w:rPr>
        <w:t>The Ordinary Shares confer upon their holders the following rights: (i) the right to vote in any general meeting of the Company, (ii) the right to receive dividends, and (iii) the right to receive upon liquidation of the Company a sum equal to the nominal value of the share, and if a surplus remains, to receive such surplus, subject to the rights conferred on any class of shares which may be issued in the future.</w:t>
      </w:r>
    </w:p>
    <w:p>
      <w:pPr>
        <w:spacing w:after="0" w:line="143" w:lineRule="exact"/>
        <w:rPr>
          <w:sz w:val="20"/>
          <w:szCs w:val="20"/>
          <w:color w:val="auto"/>
        </w:rPr>
      </w:pPr>
    </w:p>
    <w:p>
      <w:pPr>
        <w:ind w:left="720" w:hanging="352"/>
        <w:spacing w:after="0"/>
        <w:tabs>
          <w:tab w:leader="none" w:pos="7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67" w:lineRule="exact"/>
        <w:rPr>
          <w:rFonts w:ascii="Arial" w:cs="Arial" w:eastAsia="Arial" w:hAnsi="Arial"/>
          <w:sz w:val="18"/>
          <w:szCs w:val="18"/>
          <w:b w:val="1"/>
          <w:bCs w:val="1"/>
          <w:color w:val="auto"/>
        </w:rPr>
      </w:pPr>
    </w:p>
    <w:p>
      <w:pPr>
        <w:ind w:left="1080" w:hanging="352"/>
        <w:spacing w:after="0"/>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Share based compensation plan</w:t>
      </w:r>
    </w:p>
    <w:p>
      <w:pPr>
        <w:spacing w:after="0" w:line="117" w:lineRule="exact"/>
        <w:rPr>
          <w:rFonts w:ascii="Arial" w:cs="Arial" w:eastAsia="Arial" w:hAnsi="Arial"/>
          <w:sz w:val="18"/>
          <w:szCs w:val="18"/>
          <w:color w:val="auto"/>
        </w:rPr>
      </w:pPr>
    </w:p>
    <w:p>
      <w:pPr>
        <w:ind w:left="1080" w:right="40"/>
        <w:spacing w:after="0" w:line="259" w:lineRule="auto"/>
        <w:rPr>
          <w:rFonts w:ascii="Arial" w:cs="Arial" w:eastAsia="Arial" w:hAnsi="Arial"/>
          <w:sz w:val="18"/>
          <w:szCs w:val="18"/>
          <w:color w:val="auto"/>
        </w:rPr>
      </w:pPr>
      <w:r>
        <w:rPr>
          <w:rFonts w:ascii="Arial" w:cs="Arial" w:eastAsia="Arial" w:hAnsi="Arial"/>
          <w:sz w:val="18"/>
          <w:szCs w:val="18"/>
          <w:color w:val="auto"/>
        </w:rPr>
        <w:t>On March 17, 2013, the Company’s board of directors approved a Share Incentive Plan (the “Plan”). Under the Plan, the Company shall reserve sufficient number of Ordinary Shares, NIS 0.01 par value, of the Company for allocation of stock options, restricted share units, restricted share awards and performance-based awards (the “Option”), to employees and non-employees. Each Option is exercisable to acquire one ordinary share.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4" w:name="page205"/>
    <w:bookmarkEnd w:id="20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 (continued)</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Any option granted under the Plan that is not exercised within six years from the date upon which it becomes exercisable will expire.</w:t>
      </w:r>
    </w:p>
    <w:p>
      <w:pPr>
        <w:spacing w:after="0" w:line="129" w:lineRule="exact"/>
        <w:rPr>
          <w:sz w:val="20"/>
          <w:szCs w:val="20"/>
          <w:color w:val="auto"/>
        </w:rPr>
      </w:pPr>
    </w:p>
    <w:p>
      <w:pPr>
        <w:ind w:left="1080"/>
        <w:spacing w:after="0" w:line="264" w:lineRule="auto"/>
        <w:rPr>
          <w:sz w:val="20"/>
          <w:szCs w:val="20"/>
          <w:color w:val="auto"/>
        </w:rPr>
      </w:pPr>
      <w:r>
        <w:rPr>
          <w:rFonts w:ascii="Arial" w:cs="Arial" w:eastAsia="Arial" w:hAnsi="Arial"/>
          <w:sz w:val="18"/>
          <w:szCs w:val="18"/>
          <w:color w:val="auto"/>
        </w:rPr>
        <w:t>The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spacing w:after="0" w:line="73" w:lineRule="exact"/>
        <w:rPr>
          <w:sz w:val="20"/>
          <w:szCs w:val="20"/>
          <w:color w:val="auto"/>
        </w:rPr>
      </w:pPr>
    </w:p>
    <w:p>
      <w:pPr>
        <w:jc w:val="both"/>
        <w:ind w:left="1080" w:right="280"/>
        <w:spacing w:after="0" w:line="342" w:lineRule="auto"/>
        <w:rPr>
          <w:sz w:val="20"/>
          <w:szCs w:val="20"/>
          <w:color w:val="auto"/>
        </w:rPr>
      </w:pPr>
      <w:r>
        <w:rPr>
          <w:rFonts w:ascii="Arial" w:cs="Arial" w:eastAsia="Arial" w:hAnsi="Arial"/>
          <w:sz w:val="16"/>
          <w:szCs w:val="16"/>
          <w:color w:val="auto"/>
        </w:rPr>
        <w:t>Options granted to related parties or non-employees of the Company are governed by Section 3(i) of the Ordinance. The Company will be allowed to claim as an expense for tax purposes in the year in which the related parties or non-employees exercised the options into shares.</w:t>
      </w:r>
    </w:p>
    <w:p>
      <w:pPr>
        <w:spacing w:after="0" w:line="29" w:lineRule="exact"/>
        <w:rPr>
          <w:sz w:val="20"/>
          <w:szCs w:val="20"/>
          <w:color w:val="auto"/>
        </w:rPr>
      </w:pPr>
    </w:p>
    <w:p>
      <w:pPr>
        <w:ind w:left="1080" w:hanging="35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Options grants:</w:t>
      </w:r>
    </w:p>
    <w:p>
      <w:pPr>
        <w:spacing w:after="0" w:line="117" w:lineRule="exact"/>
        <w:rPr>
          <w:rFonts w:ascii="Arial" w:cs="Arial" w:eastAsia="Arial" w:hAnsi="Arial"/>
          <w:sz w:val="18"/>
          <w:szCs w:val="18"/>
          <w:color w:val="auto"/>
        </w:rPr>
      </w:pPr>
    </w:p>
    <w:p>
      <w:pPr>
        <w:ind w:left="1440" w:right="780" w:hanging="352"/>
        <w:spacing w:after="0" w:line="264" w:lineRule="auto"/>
        <w:tabs>
          <w:tab w:leader="none" w:pos="14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March 2016, the Company granted options to purchase 1,133 ordinary shares to a certain director with an exercise price of $479.38. 1/3 of the options vested on April 29, 2016, 1/3 of the options shall vest on July 29, 2017 and the remaining shall vest on July 29, 2018. The fair value of the options at the date of grant was $827 thousand.</w:t>
      </w:r>
    </w:p>
    <w:p>
      <w:pPr>
        <w:spacing w:after="0" w:line="86" w:lineRule="exact"/>
        <w:rPr>
          <w:rFonts w:ascii="Arial" w:cs="Arial" w:eastAsia="Arial" w:hAnsi="Arial"/>
          <w:sz w:val="18"/>
          <w:szCs w:val="18"/>
          <w:color w:val="auto"/>
        </w:rPr>
      </w:pPr>
    </w:p>
    <w:p>
      <w:pPr>
        <w:jc w:val="both"/>
        <w:ind w:left="1440" w:right="720" w:hanging="352"/>
        <w:spacing w:after="0" w:line="264" w:lineRule="auto"/>
        <w:tabs>
          <w:tab w:leader="none" w:pos="14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Through May and during November 2016, the Company granted options to purchase 24 ordinary shares to a certain consultant, with an exercise price of par value (0.01 NIS). The options vested immediately. The fair value of the options at the date of grant was $24 thousand.</w:t>
      </w:r>
    </w:p>
    <w:p>
      <w:pPr>
        <w:spacing w:after="0" w:line="86" w:lineRule="exact"/>
        <w:rPr>
          <w:rFonts w:ascii="Arial" w:cs="Arial" w:eastAsia="Arial" w:hAnsi="Arial"/>
          <w:sz w:val="18"/>
          <w:szCs w:val="18"/>
          <w:color w:val="auto"/>
        </w:rPr>
      </w:pPr>
    </w:p>
    <w:p>
      <w:pPr>
        <w:ind w:left="1440" w:right="780" w:hanging="352"/>
        <w:spacing w:after="0" w:line="259" w:lineRule="auto"/>
        <w:tabs>
          <w:tab w:leader="none" w:pos="14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August 2016, the Company granted options to purchase 494 ordinary shares to certain employees with an exercise price of $479. The options vest over 4 years from the date of grant; 1/4 vest on the first anniversary of the date of grant and the remaining vest in twelve equal quarterly installments following the first anniversary of the applicable grant date. The fair value of the options at the date of grant was $362 thousand.</w:t>
      </w:r>
    </w:p>
    <w:p>
      <w:pPr>
        <w:spacing w:after="0" w:line="78" w:lineRule="exact"/>
        <w:rPr>
          <w:rFonts w:ascii="Arial" w:cs="Arial" w:eastAsia="Arial" w:hAnsi="Arial"/>
          <w:sz w:val="18"/>
          <w:szCs w:val="18"/>
          <w:color w:val="auto"/>
        </w:rPr>
      </w:pPr>
    </w:p>
    <w:p>
      <w:pPr>
        <w:jc w:val="both"/>
        <w:ind w:left="1440" w:right="920" w:hanging="352"/>
        <w:spacing w:after="0" w:line="342" w:lineRule="auto"/>
        <w:tabs>
          <w:tab w:leader="none" w:pos="14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 March 2017, the Company granted options to purchase 12 ordinary shares to a certain consultant, with an exercise price of par value (0.01 NIS). The options shall vest immediately. The fair value of the options at the date of grant was $12 thousand.</w:t>
      </w:r>
    </w:p>
    <w:p>
      <w:pPr>
        <w:spacing w:after="0" w:line="29" w:lineRule="exact"/>
        <w:rPr>
          <w:rFonts w:ascii="Arial" w:cs="Arial" w:eastAsia="Arial" w:hAnsi="Arial"/>
          <w:sz w:val="16"/>
          <w:szCs w:val="16"/>
          <w:color w:val="auto"/>
        </w:rPr>
      </w:pPr>
    </w:p>
    <w:p>
      <w:pPr>
        <w:ind w:left="1440" w:right="700" w:hanging="352"/>
        <w:spacing w:after="0" w:line="268" w:lineRule="auto"/>
        <w:tabs>
          <w:tab w:leader="none" w:pos="14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On March 27, 2017, the board of directors approved the nomination of Mr. Luke Beshar as Executive chairman of the board and Dr. Roger Garceau as Chief Development Advisor. The nominations and the compensation were subject to shareholder approval that was received on April 6, 2017. According to the agreements with Mr. Luke Beshar, and Dr. Graceau, upon the occurrence of a private placement or IPO, which are defined as a Triggering Event as described in note 7(a)(3) (“the Qualified Event”), Mr. Beshar and Dr. Graceau will be granted options to purchase ordinary shares of the Company representing 6.5% and 1.5%, respectively, of the Company’s share capital on a “fully diluted basis” as determined immediately following the Qualified Event, provided however, that if the amount of new funds actually received by the Company in a Qualified Event exceeds $10 million, then it shall be deemed for the purpose of calculating the “fully diluted basis” under this agreement as if such amount is equal to $10 million. The exercise price of the options shall be equal to the per share fair market value of ordinary shares immediately following the Qualified Event. The Options will vest in 36 equal monthly installments over a period of 36 months, commencing the date of service provision, and are subject to acceleration under certain circumstances as described in the service agreement. Following the completion of the Preferred B Financing the Company determined the amount of options to purchase ordinary shares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5" w:name="page206"/>
    <w:bookmarkEnd w:id="20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 (continued)</w:t>
      </w:r>
    </w:p>
    <w:p>
      <w:pPr>
        <w:spacing w:after="0" w:line="202" w:lineRule="exact"/>
        <w:rPr>
          <w:sz w:val="20"/>
          <w:szCs w:val="20"/>
          <w:color w:val="auto"/>
        </w:rPr>
      </w:pPr>
    </w:p>
    <w:p>
      <w:pPr>
        <w:ind w:left="1440" w:right="180"/>
        <w:spacing w:after="0" w:line="342" w:lineRule="auto"/>
        <w:rPr>
          <w:sz w:val="20"/>
          <w:szCs w:val="20"/>
          <w:color w:val="auto"/>
        </w:rPr>
      </w:pPr>
      <w:r>
        <w:rPr>
          <w:rFonts w:ascii="Arial" w:cs="Arial" w:eastAsia="Arial" w:hAnsi="Arial"/>
          <w:sz w:val="16"/>
          <w:szCs w:val="16"/>
          <w:color w:val="auto"/>
        </w:rPr>
        <w:t>of the Company, to be granted to Mr. Beshar and Dr. Garceau of 6,970 and 1,608, respectively. The exercise price of the options is $820 determined based on an external valuation and approved by the board of directors of the company on November 10, 2017.</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Company treated the awards as performance-based awards, the performance condition was achieved during 2017.</w:t>
      </w:r>
    </w:p>
    <w:p>
      <w:pPr>
        <w:spacing w:after="0" w:line="10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fair value of the options at the date of grant is $4,814 thousand.</w:t>
      </w:r>
    </w:p>
    <w:p>
      <w:pPr>
        <w:spacing w:after="0" w:line="171" w:lineRule="exact"/>
        <w:rPr>
          <w:sz w:val="20"/>
          <w:szCs w:val="20"/>
          <w:color w:val="auto"/>
        </w:rPr>
      </w:pPr>
    </w:p>
    <w:p>
      <w:pPr>
        <w:ind w:left="1440" w:right="880" w:hanging="352"/>
        <w:spacing w:after="0" w:line="286" w:lineRule="auto"/>
        <w:tabs>
          <w:tab w:leader="none" w:pos="14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On April 6, 2017, the Company granted options to purchase 1,133 ordinary shares to a certain director, with an exercise price of $980. 1/3 of the options are vested on the grant date, 1/3 of the options shall vest on September 21, 2017 and the remaining shall vest on September 21, 2018. The fair value of the options at the date of grant is $574 thousand.</w:t>
      </w:r>
    </w:p>
    <w:p>
      <w:pPr>
        <w:spacing w:after="0" w:line="111" w:lineRule="exact"/>
        <w:rPr>
          <w:rFonts w:ascii="Arial" w:cs="Arial" w:eastAsia="Arial" w:hAnsi="Arial"/>
          <w:sz w:val="17"/>
          <w:szCs w:val="17"/>
          <w:color w:val="auto"/>
        </w:rPr>
      </w:pPr>
    </w:p>
    <w:p>
      <w:pPr>
        <w:jc w:val="both"/>
        <w:ind w:left="1440" w:right="780" w:hanging="352"/>
        <w:spacing w:after="0" w:line="259" w:lineRule="auto"/>
        <w:tabs>
          <w:tab w:leader="none" w:pos="14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On November 15, 2017, the Company granted options to purchase 4,550 ordinary shares to the CEO, COO and the CFO of the Company, with an exercise price of $820. The options will vest in 4 years in sixteen equal quarterly instalments. The fair value of the options at the date of grant is $2,338 thousand. The options granted to the CEO were approved by the shareholders of the Company on November 23, 2017.</w:t>
      </w:r>
    </w:p>
    <w:p>
      <w:pPr>
        <w:spacing w:after="0" w:line="132" w:lineRule="exact"/>
        <w:rPr>
          <w:rFonts w:ascii="Arial" w:cs="Arial" w:eastAsia="Arial" w:hAnsi="Arial"/>
          <w:sz w:val="18"/>
          <w:szCs w:val="18"/>
          <w:color w:val="auto"/>
        </w:rPr>
      </w:pPr>
    </w:p>
    <w:p>
      <w:pPr>
        <w:ind w:left="1440" w:right="840" w:hanging="352"/>
        <w:spacing w:after="0" w:line="342" w:lineRule="auto"/>
        <w:tabs>
          <w:tab w:leader="none" w:pos="14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On November 23, 2017, the Company granted options to purchase 100 ordinary shares to a certain consultant, with an exercise price $820. The options shall vest immediately. The fair value of the options at the date of grant was $38 thousand.</w:t>
      </w:r>
    </w:p>
    <w:p>
      <w:pPr>
        <w:spacing w:after="0" w:line="69" w:lineRule="exact"/>
        <w:rPr>
          <w:rFonts w:ascii="Arial" w:cs="Arial" w:eastAsia="Arial" w:hAnsi="Arial"/>
          <w:sz w:val="16"/>
          <w:szCs w:val="16"/>
          <w:color w:val="auto"/>
        </w:rPr>
      </w:pPr>
    </w:p>
    <w:p>
      <w:pPr>
        <w:ind w:left="1440" w:right="800" w:hanging="352"/>
        <w:spacing w:after="0" w:line="259" w:lineRule="auto"/>
        <w:tabs>
          <w:tab w:leader="none" w:pos="14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On December 27, 2017, the Company granted options to purchase 586 ordinary shares to certain employees, with an exercise price of $820. The options vest over 4 years from the date of grant; 1/4 vest on the first anniversary of the date of grant and the remaining vest in twelve equal quarterly installments following the first anniversary of the applicable grant date. The fair value of the options at the date of grant was $295 thousand.</w:t>
      </w:r>
    </w:p>
    <w:p>
      <w:pPr>
        <w:spacing w:after="0" w:line="132" w:lineRule="exact"/>
        <w:rPr>
          <w:rFonts w:ascii="Arial" w:cs="Arial" w:eastAsia="Arial" w:hAnsi="Arial"/>
          <w:sz w:val="18"/>
          <w:szCs w:val="18"/>
          <w:color w:val="auto"/>
        </w:rPr>
      </w:pPr>
    </w:p>
    <w:p>
      <w:pPr>
        <w:ind w:left="1080" w:right="780" w:hanging="352"/>
        <w:spacing w:after="0" w:line="308"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fair value of each option granted (except options with an exercise price of par value, as described below) is estimated at the date of grant using the Black-Scholes option-pricing model, with the following weighted average assumptions: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2017</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6"/>
        </w:trPr>
        <w:tc>
          <w:tcPr>
            <w:tcW w:w="8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Ordinary share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1,018</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7"/>
        </w:trPr>
        <w:tc>
          <w:tcPr>
            <w:tcW w:w="8980" w:type="dxa"/>
            <w:vAlign w:val="bottom"/>
            <w:tcBorders>
              <w:bottom w:val="single" w:sz="8" w:color="CCEEFF"/>
            </w:tcBorders>
            <w:gridSpan w:val="2"/>
          </w:tcPr>
          <w:p>
            <w:pPr>
              <w:ind w:left="1740"/>
              <w:spacing w:after="0"/>
              <w:rPr>
                <w:sz w:val="20"/>
                <w:szCs w:val="20"/>
                <w:color w:val="auto"/>
              </w:rPr>
            </w:pPr>
            <w:r>
              <w:rPr>
                <w:rFonts w:ascii="Arial" w:cs="Arial" w:eastAsia="Arial" w:hAnsi="Arial"/>
                <w:sz w:val="18"/>
                <w:szCs w:val="18"/>
                <w:color w:val="auto"/>
              </w:rPr>
              <w:t>Exercise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r>
      <w:tr>
        <w:trPr>
          <w:trHeight w:val="237"/>
        </w:trPr>
        <w:tc>
          <w:tcPr>
            <w:tcW w:w="898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Dividend yield</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spacing w:after="0"/>
              <w:rPr>
                <w:sz w:val="20"/>
                <w:szCs w:val="20"/>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7"/>
        </w:trPr>
        <w:tc>
          <w:tcPr>
            <w:tcW w:w="8980" w:type="dxa"/>
            <w:vAlign w:val="bottom"/>
            <w:gridSpan w:val="2"/>
          </w:tcPr>
          <w:p>
            <w:pPr>
              <w:ind w:left="1740"/>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73.77%</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76%</w:t>
            </w:r>
          </w:p>
        </w:tc>
      </w:tr>
      <w:tr>
        <w:trPr>
          <w:trHeight w:val="20"/>
        </w:trPr>
        <w:tc>
          <w:tcPr>
            <w:tcW w:w="8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237"/>
        </w:trPr>
        <w:tc>
          <w:tcPr>
            <w:tcW w:w="89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r>
      <w:tr>
        <w:trPr>
          <w:trHeight w:val="230"/>
        </w:trPr>
        <w:tc>
          <w:tcPr>
            <w:tcW w:w="8980" w:type="dxa"/>
            <w:vAlign w:val="bottom"/>
            <w:gridSpan w:val="2"/>
          </w:tcPr>
          <w:p>
            <w:pPr>
              <w:ind w:left="1740"/>
              <w:spacing w:after="0"/>
              <w:rPr>
                <w:sz w:val="20"/>
                <w:szCs w:val="20"/>
                <w:color w:val="auto"/>
              </w:rPr>
            </w:pPr>
            <w:r>
              <w:rPr>
                <w:rFonts w:ascii="Arial" w:cs="Arial" w:eastAsia="Arial" w:hAnsi="Arial"/>
                <w:sz w:val="18"/>
                <w:szCs w:val="18"/>
                <w:color w:val="auto"/>
              </w:rPr>
              <w:t>Expected life – in years</w:t>
            </w:r>
          </w:p>
        </w:tc>
        <w:tc>
          <w:tcPr>
            <w:tcW w:w="1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420" w:type="dxa"/>
            <w:vAlign w:val="bottom"/>
          </w:tcPr>
          <w:p>
            <w:pPr>
              <w:spacing w:after="0"/>
              <w:rPr>
                <w:sz w:val="20"/>
                <w:szCs w:val="20"/>
                <w:color w:val="auto"/>
              </w:rPr>
            </w:pPr>
          </w:p>
        </w:tc>
      </w:tr>
      <w:tr>
        <w:trPr>
          <w:trHeight w:val="20"/>
        </w:trPr>
        <w:tc>
          <w:tcPr>
            <w:tcW w:w="8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63633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36" w:lineRule="exact"/>
        <w:rPr>
          <w:sz w:val="20"/>
          <w:szCs w:val="20"/>
          <w:color w:val="auto"/>
        </w:rPr>
      </w:pPr>
    </w:p>
    <w:p>
      <w:pPr>
        <w:ind w:left="1080" w:right="120"/>
        <w:spacing w:after="0" w:line="259" w:lineRule="auto"/>
        <w:rPr>
          <w:sz w:val="20"/>
          <w:szCs w:val="20"/>
          <w:color w:val="auto"/>
        </w:rPr>
      </w:pPr>
      <w:r>
        <w:rPr>
          <w:rFonts w:ascii="Arial" w:cs="Arial" w:eastAsia="Arial" w:hAnsi="Arial"/>
          <w:sz w:val="18"/>
          <w:szCs w:val="18"/>
          <w:color w:val="auto"/>
        </w:rPr>
        <w:t>The fair value of each option with an exercise price of NIS 0.01 is based on the fair value of ordinary share at the date of grant. The ordinary share price is derived from the value of equity and was based on the valuation performed (as detailed in note 6). The expected volatility is based on comparable companies. The risk-free interest rate is determined based on rates of return on maturity of unlinked treasury bonds with a time to maturity that equals the average life of the options.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6" w:name="page207"/>
    <w:bookmarkEnd w:id="20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 (continued)</w:t>
      </w:r>
    </w:p>
    <w:p>
      <w:pPr>
        <w:spacing w:after="0" w:line="162" w:lineRule="exact"/>
        <w:rPr>
          <w:sz w:val="20"/>
          <w:szCs w:val="20"/>
          <w:color w:val="auto"/>
        </w:rPr>
      </w:pPr>
    </w:p>
    <w:p>
      <w:pPr>
        <w:ind w:left="1080" w:hanging="35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Changes in the number of options and weighted average exercise prices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8"/>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6"/>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r>
      <w:tr>
        <w:trPr>
          <w:trHeight w:val="173"/>
        </w:trPr>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5"/>
          </w:tcPr>
          <w:p>
            <w:pPr>
              <w:ind w:left="22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exercise</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exercise</w:t>
            </w:r>
          </w:p>
        </w:tc>
      </w:tr>
      <w:tr>
        <w:trPr>
          <w:trHeight w:val="186"/>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price</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w:t>
            </w:r>
          </w:p>
        </w:tc>
      </w:tr>
      <w:tr>
        <w:trPr>
          <w:trHeight w:val="26"/>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8,743</w:t>
            </w:r>
          </w:p>
        </w:tc>
        <w:tc>
          <w:tcPr>
            <w:tcW w:w="66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7,092</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$119.7</w:t>
            </w:r>
          </w:p>
        </w:tc>
      </w:tr>
      <w:tr>
        <w:trPr>
          <w:trHeight w:val="257"/>
        </w:trPr>
        <w:tc>
          <w:tcPr>
            <w:tcW w:w="648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295.2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6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14,959</w:t>
            </w:r>
          </w:p>
        </w:tc>
        <w:tc>
          <w:tcPr>
            <w:tcW w:w="66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831.5</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1,651</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$472.3</w:t>
            </w:r>
          </w:p>
        </w:tc>
      </w:tr>
      <w:tr>
        <w:trPr>
          <w:trHeight w:val="20"/>
        </w:trPr>
        <w:tc>
          <w:tcPr>
            <w:tcW w:w="6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64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480" w:type="dxa"/>
            <w:vAlign w:val="bottom"/>
            <w:gridSpan w:val="2"/>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23,423</w:t>
            </w:r>
          </w:p>
        </w:tc>
        <w:tc>
          <w:tcPr>
            <w:tcW w:w="660" w:type="dxa"/>
            <w:vAlign w:val="bottom"/>
            <w:gridSpan w:val="4"/>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597.1</w:t>
            </w:r>
          </w:p>
        </w:tc>
        <w:tc>
          <w:tcPr>
            <w:tcW w:w="220" w:type="dxa"/>
            <w:vAlign w:val="bottom"/>
          </w:tcPr>
          <w:p>
            <w:pPr>
              <w:spacing w:after="0"/>
              <w:rPr>
                <w:sz w:val="22"/>
                <w:szCs w:val="22"/>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8,743</w:t>
            </w:r>
          </w:p>
        </w:tc>
        <w:tc>
          <w:tcPr>
            <w:tcW w:w="1320" w:type="dxa"/>
            <w:vAlign w:val="bottom"/>
            <w:gridSpan w:val="5"/>
          </w:tcPr>
          <w:p>
            <w:pPr>
              <w:jc w:val="right"/>
              <w:ind w:right="240"/>
              <w:spacing w:after="0"/>
              <w:rPr>
                <w:sz w:val="20"/>
                <w:szCs w:val="20"/>
                <w:color w:val="auto"/>
              </w:rPr>
            </w:pPr>
            <w:r>
              <w:rPr>
                <w:rFonts w:ascii="Arial" w:cs="Arial" w:eastAsia="Arial" w:hAnsi="Arial"/>
                <w:sz w:val="18"/>
                <w:szCs w:val="18"/>
                <w:color w:val="auto"/>
              </w:rPr>
              <w:t>$186.3</w:t>
            </w:r>
          </w:p>
        </w:tc>
      </w:tr>
      <w:tr>
        <w:trPr>
          <w:trHeight w:val="20"/>
        </w:trPr>
        <w:tc>
          <w:tcPr>
            <w:tcW w:w="6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480" w:type="dxa"/>
            <w:vAlign w:val="bottom"/>
            <w:gridSpan w:val="2"/>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11,006</w:t>
            </w:r>
          </w:p>
        </w:tc>
        <w:tc>
          <w:tcPr>
            <w:tcW w:w="660" w:type="dxa"/>
            <w:vAlign w:val="bottom"/>
            <w:gridSpan w:val="4"/>
            <w:shd w:val="clear" w:color="auto" w:fill="CCEEFF"/>
          </w:tcPr>
          <w:p>
            <w:pPr>
              <w:ind w:left="5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379.62</w:t>
            </w:r>
          </w:p>
        </w:tc>
        <w:tc>
          <w:tcPr>
            <w:tcW w:w="2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6,426</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-196850</wp:posOffset>
            </wp:positionV>
            <wp:extent cx="1543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7748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-882650</wp:posOffset>
            </wp:positionV>
            <wp:extent cx="137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58489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01" w:lineRule="exact"/>
        <w:rPr>
          <w:sz w:val="20"/>
          <w:szCs w:val="20"/>
          <w:color w:val="auto"/>
        </w:rPr>
      </w:pPr>
    </w:p>
    <w:p>
      <w:pPr>
        <w:ind w:left="1080" w:hanging="35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following is information about the exercise price and remaining contractual life of outstanding options at year-end: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 2017</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 2016</w:t>
            </w:r>
          </w:p>
        </w:tc>
        <w:tc>
          <w:tcPr>
            <w:tcW w:w="140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62"/>
        </w:trPr>
        <w:tc>
          <w:tcPr>
            <w:tcW w:w="20" w:type="dxa"/>
            <w:vAlign w:val="bottom"/>
          </w:tcPr>
          <w:p>
            <w:pPr>
              <w:spacing w:after="0"/>
              <w:rPr>
                <w:sz w:val="14"/>
                <w:szCs w:val="14"/>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average of</w:t>
            </w: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of</w:t>
            </w:r>
          </w:p>
        </w:tc>
      </w:tr>
      <w:tr>
        <w:trPr>
          <w:trHeight w:val="162"/>
        </w:trPr>
        <w:tc>
          <w:tcPr>
            <w:tcW w:w="20" w:type="dxa"/>
            <w:vAlign w:val="bottom"/>
          </w:tcPr>
          <w:p>
            <w:pPr>
              <w:spacing w:after="0"/>
              <w:rPr>
                <w:sz w:val="14"/>
                <w:szCs w:val="14"/>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remaining</w:t>
            </w:r>
          </w:p>
        </w:tc>
        <w:tc>
          <w:tcPr>
            <w:tcW w:w="1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r>
      <w:tr>
        <w:trPr>
          <w:trHeight w:val="162"/>
        </w:trPr>
        <w:tc>
          <w:tcPr>
            <w:tcW w:w="20" w:type="dxa"/>
            <w:vAlign w:val="bottom"/>
          </w:tcPr>
          <w:p>
            <w:pPr>
              <w:spacing w:after="0"/>
              <w:rPr>
                <w:sz w:val="14"/>
                <w:szCs w:val="14"/>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outstanding at</w:t>
            </w: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Exercise</w:t>
            </w: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contractual</w:t>
            </w:r>
          </w:p>
        </w:tc>
        <w:tc>
          <w:tcPr>
            <w:tcW w:w="1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outstanding at</w:t>
            </w:r>
          </w:p>
        </w:tc>
        <w:tc>
          <w:tcPr>
            <w:tcW w:w="20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Exercise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86"/>
        </w:trPr>
        <w:tc>
          <w:tcPr>
            <w:tcW w:w="20" w:type="dxa"/>
            <w:vAlign w:val="bottom"/>
          </w:tcPr>
          <w:p>
            <w:pPr>
              <w:spacing w:after="0"/>
              <w:rPr>
                <w:sz w:val="16"/>
                <w:szCs w:val="16"/>
                <w:color w:val="auto"/>
              </w:rPr>
            </w:pPr>
          </w:p>
        </w:tc>
        <w:tc>
          <w:tcPr>
            <w:tcW w:w="24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0"/>
              </w:rPr>
              <w:t>end of year</w:t>
            </w:r>
          </w:p>
        </w:tc>
        <w:tc>
          <w:tcPr>
            <w:tcW w:w="5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life</w:t>
            </w: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end of year</w:t>
            </w:r>
          </w:p>
        </w:tc>
        <w:tc>
          <w:tcPr>
            <w:tcW w:w="5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life</w:t>
            </w:r>
          </w:p>
        </w:tc>
      </w:tr>
      <w:tr>
        <w:trPr>
          <w:trHeight w:val="26"/>
        </w:trPr>
        <w:tc>
          <w:tcPr>
            <w:tcW w:w="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2.48</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4,867</w:t>
            </w: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3.29</w:t>
            </w:r>
          </w:p>
        </w:tc>
      </w:tr>
      <w:tr>
        <w:trPr>
          <w:trHeight w:val="257"/>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460" w:type="dxa"/>
            <w:vAlign w:val="bottom"/>
          </w:tcPr>
          <w:p>
            <w:pPr>
              <w:spacing w:after="0"/>
              <w:rPr>
                <w:sz w:val="22"/>
                <w:szCs w:val="22"/>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w w:val="87"/>
              </w:rPr>
              <w:t>240.26</w:t>
            </w:r>
          </w:p>
        </w:tc>
        <w:tc>
          <w:tcPr>
            <w:tcW w:w="460" w:type="dxa"/>
            <w:vAlign w:val="bottom"/>
          </w:tcPr>
          <w:p>
            <w:pPr>
              <w:spacing w:after="0"/>
              <w:rPr>
                <w:sz w:val="22"/>
                <w:szCs w:val="22"/>
                <w:color w:val="auto"/>
              </w:rPr>
            </w:pPr>
          </w:p>
        </w:tc>
        <w:tc>
          <w:tcPr>
            <w:tcW w:w="1340" w:type="dxa"/>
            <w:vAlign w:val="bottom"/>
          </w:tcPr>
          <w:p>
            <w:pPr>
              <w:jc w:val="right"/>
              <w:ind w:right="417"/>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2"/>
                <w:szCs w:val="22"/>
                <w:color w:val="auto"/>
              </w:rPr>
            </w:pPr>
          </w:p>
        </w:tc>
        <w:tc>
          <w:tcPr>
            <w:tcW w:w="1360" w:type="dxa"/>
            <w:vAlign w:val="bottom"/>
          </w:tcPr>
          <w:p>
            <w:pPr>
              <w:jc w:val="right"/>
              <w:ind w:right="397"/>
              <w:spacing w:after="0"/>
              <w:rPr>
                <w:sz w:val="20"/>
                <w:szCs w:val="20"/>
                <w:color w:val="auto"/>
              </w:rPr>
            </w:pPr>
            <w:r>
              <w:rPr>
                <w:rFonts w:ascii="Arial" w:cs="Arial" w:eastAsia="Arial" w:hAnsi="Arial"/>
                <w:sz w:val="18"/>
                <w:szCs w:val="18"/>
                <w:color w:val="auto"/>
              </w:rPr>
              <w:t>254</w:t>
            </w:r>
          </w:p>
        </w:tc>
        <w:tc>
          <w:tcPr>
            <w:tcW w:w="460" w:type="dxa"/>
            <w:vAlign w:val="bottom"/>
          </w:tcPr>
          <w:p>
            <w:pPr>
              <w:spacing w:after="0"/>
              <w:rPr>
                <w:sz w:val="22"/>
                <w:szCs w:val="22"/>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w w:val="87"/>
              </w:rPr>
              <w:t>240.26</w:t>
            </w:r>
          </w:p>
        </w:tc>
        <w:tc>
          <w:tcPr>
            <w:tcW w:w="460" w:type="dxa"/>
            <w:vAlign w:val="bottom"/>
          </w:tcPr>
          <w:p>
            <w:pPr>
              <w:spacing w:after="0"/>
              <w:rPr>
                <w:sz w:val="22"/>
                <w:szCs w:val="22"/>
                <w:color w:val="auto"/>
              </w:rPr>
            </w:pPr>
          </w:p>
        </w:tc>
        <w:tc>
          <w:tcPr>
            <w:tcW w:w="1400" w:type="dxa"/>
            <w:vAlign w:val="bottom"/>
          </w:tcPr>
          <w:p>
            <w:pPr>
              <w:jc w:val="right"/>
              <w:ind w:right="457"/>
              <w:spacing w:after="0"/>
              <w:rPr>
                <w:sz w:val="20"/>
                <w:szCs w:val="20"/>
                <w:color w:val="auto"/>
              </w:rPr>
            </w:pPr>
            <w:r>
              <w:rPr>
                <w:rFonts w:ascii="Arial" w:cs="Arial" w:eastAsia="Arial" w:hAnsi="Arial"/>
                <w:sz w:val="18"/>
                <w:szCs w:val="18"/>
                <w:color w:val="auto"/>
              </w:rPr>
              <w:t>2.7</w:t>
            </w:r>
          </w:p>
        </w:tc>
      </w:tr>
      <w:tr>
        <w:trPr>
          <w:trHeight w:val="257"/>
        </w:trPr>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60" w:type="dxa"/>
            <w:vAlign w:val="bottom"/>
            <w:shd w:val="clear" w:color="auto" w:fill="CCEEFF"/>
          </w:tcPr>
          <w:p>
            <w:pPr>
              <w:spacing w:after="0"/>
              <w:rPr>
                <w:sz w:val="22"/>
                <w:szCs w:val="22"/>
                <w:color w:val="auto"/>
              </w:rPr>
            </w:pP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316</w:t>
            </w:r>
          </w:p>
        </w:tc>
        <w:tc>
          <w:tcPr>
            <w:tcW w:w="4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2.42</w:t>
            </w: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277</w:t>
            </w:r>
          </w:p>
        </w:tc>
        <w:tc>
          <w:tcPr>
            <w:tcW w:w="460" w:type="dxa"/>
            <w:vAlign w:val="bottom"/>
            <w:shd w:val="clear" w:color="auto" w:fill="CCEEFF"/>
          </w:tcPr>
          <w:p>
            <w:pPr>
              <w:spacing w:after="0"/>
              <w:rPr>
                <w:sz w:val="22"/>
                <w:szCs w:val="22"/>
                <w:color w:val="auto"/>
              </w:rPr>
            </w:pP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316</w:t>
            </w:r>
          </w:p>
        </w:tc>
        <w:tc>
          <w:tcPr>
            <w:tcW w:w="4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3.42</w:t>
            </w:r>
          </w:p>
        </w:tc>
      </w:tr>
      <w:tr>
        <w:trPr>
          <w:trHeight w:val="257"/>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22"/>
                <w:szCs w:val="22"/>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w w:val="87"/>
              </w:rPr>
              <w:t>273.88</w:t>
            </w:r>
          </w:p>
        </w:tc>
        <w:tc>
          <w:tcPr>
            <w:tcW w:w="460" w:type="dxa"/>
            <w:vAlign w:val="bottom"/>
          </w:tcPr>
          <w:p>
            <w:pPr>
              <w:spacing w:after="0"/>
              <w:rPr>
                <w:sz w:val="22"/>
                <w:szCs w:val="22"/>
                <w:color w:val="auto"/>
              </w:rPr>
            </w:pPr>
          </w:p>
        </w:tc>
        <w:tc>
          <w:tcPr>
            <w:tcW w:w="1340" w:type="dxa"/>
            <w:vAlign w:val="bottom"/>
          </w:tcPr>
          <w:p>
            <w:pPr>
              <w:jc w:val="right"/>
              <w:ind w:right="417"/>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22"/>
                <w:szCs w:val="22"/>
                <w:color w:val="auto"/>
              </w:rPr>
            </w:pPr>
          </w:p>
        </w:tc>
        <w:tc>
          <w:tcPr>
            <w:tcW w:w="1360" w:type="dxa"/>
            <w:vAlign w:val="bottom"/>
          </w:tcPr>
          <w:p>
            <w:pPr>
              <w:jc w:val="right"/>
              <w:ind w:right="397"/>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22"/>
                <w:szCs w:val="22"/>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w w:val="87"/>
              </w:rPr>
              <w:t>273.88</w:t>
            </w:r>
          </w:p>
        </w:tc>
        <w:tc>
          <w:tcPr>
            <w:tcW w:w="460" w:type="dxa"/>
            <w:vAlign w:val="bottom"/>
          </w:tcPr>
          <w:p>
            <w:pPr>
              <w:spacing w:after="0"/>
              <w:rPr>
                <w:sz w:val="22"/>
                <w:szCs w:val="22"/>
                <w:color w:val="auto"/>
              </w:rPr>
            </w:pPr>
          </w:p>
        </w:tc>
        <w:tc>
          <w:tcPr>
            <w:tcW w:w="1400" w:type="dxa"/>
            <w:vAlign w:val="bottom"/>
          </w:tcPr>
          <w:p>
            <w:pPr>
              <w:jc w:val="right"/>
              <w:ind w:right="457"/>
              <w:spacing w:after="0"/>
              <w:rPr>
                <w:sz w:val="20"/>
                <w:szCs w:val="20"/>
                <w:color w:val="auto"/>
              </w:rPr>
            </w:pPr>
            <w:r>
              <w:rPr>
                <w:rFonts w:ascii="Arial" w:cs="Arial" w:eastAsia="Arial" w:hAnsi="Arial"/>
                <w:sz w:val="18"/>
                <w:szCs w:val="18"/>
                <w:color w:val="auto"/>
              </w:rPr>
              <w:t>1.54</w:t>
            </w:r>
          </w:p>
        </w:tc>
      </w:tr>
      <w:tr>
        <w:trPr>
          <w:trHeight w:val="257"/>
        </w:trPr>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22"/>
                <w:szCs w:val="22"/>
                <w:color w:val="auto"/>
              </w:rPr>
            </w:pP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240</w:t>
            </w:r>
          </w:p>
        </w:tc>
        <w:tc>
          <w:tcPr>
            <w:tcW w:w="4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3.21</w:t>
            </w: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22"/>
                <w:szCs w:val="22"/>
                <w:color w:val="auto"/>
              </w:rPr>
            </w:pP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240</w:t>
            </w:r>
          </w:p>
        </w:tc>
        <w:tc>
          <w:tcPr>
            <w:tcW w:w="4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4.21</w:t>
            </w:r>
          </w:p>
        </w:tc>
      </w:tr>
      <w:tr>
        <w:trPr>
          <w:trHeight w:val="257"/>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460" w:type="dxa"/>
            <w:vAlign w:val="bottom"/>
          </w:tcPr>
          <w:p>
            <w:pPr>
              <w:spacing w:after="0"/>
              <w:rPr>
                <w:sz w:val="22"/>
                <w:szCs w:val="22"/>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w w:val="87"/>
              </w:rPr>
              <w:t>479.38</w:t>
            </w:r>
          </w:p>
        </w:tc>
        <w:tc>
          <w:tcPr>
            <w:tcW w:w="460" w:type="dxa"/>
            <w:vAlign w:val="bottom"/>
          </w:tcPr>
          <w:p>
            <w:pPr>
              <w:spacing w:after="0"/>
              <w:rPr>
                <w:sz w:val="22"/>
                <w:szCs w:val="22"/>
                <w:color w:val="auto"/>
              </w:rPr>
            </w:pPr>
          </w:p>
        </w:tc>
        <w:tc>
          <w:tcPr>
            <w:tcW w:w="1340" w:type="dxa"/>
            <w:vAlign w:val="bottom"/>
          </w:tcPr>
          <w:p>
            <w:pPr>
              <w:jc w:val="right"/>
              <w:ind w:right="417"/>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2"/>
                <w:szCs w:val="22"/>
                <w:color w:val="auto"/>
              </w:rPr>
            </w:pPr>
          </w:p>
        </w:tc>
        <w:tc>
          <w:tcPr>
            <w:tcW w:w="1360" w:type="dxa"/>
            <w:vAlign w:val="bottom"/>
          </w:tcPr>
          <w:p>
            <w:pPr>
              <w:jc w:val="right"/>
              <w:ind w:right="397"/>
              <w:spacing w:after="0"/>
              <w:rPr>
                <w:sz w:val="20"/>
                <w:szCs w:val="20"/>
                <w:color w:val="auto"/>
              </w:rPr>
            </w:pPr>
            <w:r>
              <w:rPr>
                <w:rFonts w:ascii="Arial" w:cs="Arial" w:eastAsia="Arial" w:hAnsi="Arial"/>
                <w:sz w:val="18"/>
                <w:szCs w:val="18"/>
                <w:color w:val="auto"/>
              </w:rPr>
              <w:t>2,266</w:t>
            </w:r>
          </w:p>
        </w:tc>
        <w:tc>
          <w:tcPr>
            <w:tcW w:w="460" w:type="dxa"/>
            <w:vAlign w:val="bottom"/>
          </w:tcPr>
          <w:p>
            <w:pPr>
              <w:spacing w:after="0"/>
              <w:rPr>
                <w:sz w:val="22"/>
                <w:szCs w:val="22"/>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w w:val="87"/>
              </w:rPr>
              <w:t>479.38</w:t>
            </w:r>
          </w:p>
        </w:tc>
        <w:tc>
          <w:tcPr>
            <w:tcW w:w="460" w:type="dxa"/>
            <w:vAlign w:val="bottom"/>
          </w:tcPr>
          <w:p>
            <w:pPr>
              <w:spacing w:after="0"/>
              <w:rPr>
                <w:sz w:val="22"/>
                <w:szCs w:val="22"/>
                <w:color w:val="auto"/>
              </w:rPr>
            </w:pPr>
          </w:p>
        </w:tc>
        <w:tc>
          <w:tcPr>
            <w:tcW w:w="1400" w:type="dxa"/>
            <w:vAlign w:val="bottom"/>
          </w:tcPr>
          <w:p>
            <w:pPr>
              <w:jc w:val="right"/>
              <w:ind w:right="457"/>
              <w:spacing w:after="0"/>
              <w:rPr>
                <w:sz w:val="20"/>
                <w:szCs w:val="20"/>
                <w:color w:val="auto"/>
              </w:rPr>
            </w:pPr>
            <w:r>
              <w:rPr>
                <w:rFonts w:ascii="Arial" w:cs="Arial" w:eastAsia="Arial" w:hAnsi="Arial"/>
                <w:sz w:val="18"/>
                <w:szCs w:val="18"/>
                <w:color w:val="auto"/>
              </w:rPr>
              <w:t>5.11</w:t>
            </w:r>
          </w:p>
        </w:tc>
      </w:tr>
      <w:tr>
        <w:trPr>
          <w:trHeight w:val="257"/>
        </w:trPr>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460" w:type="dxa"/>
            <w:vAlign w:val="bottom"/>
            <w:shd w:val="clear" w:color="auto" w:fill="CCEEFF"/>
          </w:tcPr>
          <w:p>
            <w:pPr>
              <w:spacing w:after="0"/>
              <w:rPr>
                <w:sz w:val="22"/>
                <w:szCs w:val="22"/>
                <w:color w:val="auto"/>
              </w:rPr>
            </w:pP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820</w:t>
            </w:r>
          </w:p>
        </w:tc>
        <w:tc>
          <w:tcPr>
            <w:tcW w:w="4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7.77</w:t>
            </w: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494</w:t>
            </w:r>
          </w:p>
        </w:tc>
        <w:tc>
          <w:tcPr>
            <w:tcW w:w="460" w:type="dxa"/>
            <w:vAlign w:val="bottom"/>
            <w:shd w:val="clear" w:color="auto" w:fill="CCEEFF"/>
          </w:tcPr>
          <w:p>
            <w:pPr>
              <w:spacing w:after="0"/>
              <w:rPr>
                <w:sz w:val="22"/>
                <w:szCs w:val="22"/>
                <w:color w:val="auto"/>
              </w:rPr>
            </w:pP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479</w:t>
            </w:r>
          </w:p>
        </w:tc>
        <w:tc>
          <w:tcPr>
            <w:tcW w:w="4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5.65</w:t>
            </w:r>
          </w:p>
        </w:tc>
      </w:tr>
      <w:tr>
        <w:trPr>
          <w:trHeight w:val="257"/>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460" w:type="dxa"/>
            <w:vAlign w:val="bottom"/>
          </w:tcPr>
          <w:p>
            <w:pPr>
              <w:spacing w:after="0"/>
              <w:rPr>
                <w:sz w:val="22"/>
                <w:szCs w:val="22"/>
                <w:color w:val="auto"/>
              </w:rPr>
            </w:pP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980</w:t>
            </w:r>
          </w:p>
        </w:tc>
        <w:tc>
          <w:tcPr>
            <w:tcW w:w="460" w:type="dxa"/>
            <w:vAlign w:val="bottom"/>
          </w:tcPr>
          <w:p>
            <w:pPr>
              <w:spacing w:after="0"/>
              <w:rPr>
                <w:sz w:val="22"/>
                <w:szCs w:val="22"/>
                <w:color w:val="auto"/>
              </w:rPr>
            </w:pPr>
          </w:p>
        </w:tc>
        <w:tc>
          <w:tcPr>
            <w:tcW w:w="1340" w:type="dxa"/>
            <w:vAlign w:val="bottom"/>
          </w:tcPr>
          <w:p>
            <w:pPr>
              <w:jc w:val="right"/>
              <w:ind w:right="417"/>
              <w:spacing w:after="0"/>
              <w:rPr>
                <w:sz w:val="20"/>
                <w:szCs w:val="20"/>
                <w:color w:val="auto"/>
              </w:rPr>
            </w:pPr>
            <w:r>
              <w:rPr>
                <w:rFonts w:ascii="Arial" w:cs="Arial" w:eastAsia="Arial" w:hAnsi="Arial"/>
                <w:sz w:val="18"/>
                <w:szCs w:val="18"/>
                <w:color w:val="auto"/>
              </w:rPr>
              <w:t>5.26</w:t>
            </w: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-1311275</wp:posOffset>
            </wp:positionV>
            <wp:extent cx="2914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-1311275</wp:posOffset>
            </wp:positionV>
            <wp:extent cx="2914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-1311275</wp:posOffset>
            </wp:positionV>
            <wp:extent cx="2914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-1311275</wp:posOffset>
            </wp:positionV>
            <wp:extent cx="29146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-1311275</wp:posOffset>
            </wp:positionV>
            <wp:extent cx="2914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-1311275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03" w:lineRule="exact"/>
        <w:rPr>
          <w:sz w:val="20"/>
          <w:szCs w:val="20"/>
          <w:color w:val="auto"/>
        </w:rPr>
      </w:pPr>
    </w:p>
    <w:p>
      <w:pPr>
        <w:ind w:left="360" w:hanging="352"/>
        <w:spacing w:after="0"/>
        <w:tabs>
          <w:tab w:leader="none" w:pos="3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Par value</w:t>
      </w:r>
    </w:p>
    <w:p>
      <w:pPr>
        <w:spacing w:after="0" w:line="63" w:lineRule="exact"/>
        <w:rPr>
          <w:rFonts w:ascii="Arial" w:cs="Arial" w:eastAsia="Arial" w:hAnsi="Arial"/>
          <w:sz w:val="18"/>
          <w:szCs w:val="18"/>
          <w:color w:val="auto"/>
        </w:rPr>
      </w:pPr>
    </w:p>
    <w:p>
      <w:pPr>
        <w:ind w:left="1080" w:right="900" w:hanging="352"/>
        <w:spacing w:after="0" w:line="277" w:lineRule="auto"/>
        <w:tabs>
          <w:tab w:leader="none" w:pos="10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remaining unrecognized compensation expense as of December 31, 2017 is $4,083 thousand. This amount will be expensed in full by December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TAXES ON INCOME:</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taxed according to Israeli tax laws:</w:t>
      </w:r>
    </w:p>
    <w:p>
      <w:pPr>
        <w:spacing w:after="0" w:line="221" w:lineRule="exact"/>
        <w:rPr>
          <w:sz w:val="20"/>
          <w:szCs w:val="20"/>
          <w:color w:val="auto"/>
        </w:rPr>
      </w:pPr>
    </w:p>
    <w:p>
      <w:pPr>
        <w:ind w:left="720" w:hanging="352"/>
        <w:spacing w:after="0"/>
        <w:tabs>
          <w:tab w:leader="none" w:pos="7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Measurement of results for tax purposes</w:t>
      </w:r>
    </w:p>
    <w:p>
      <w:pPr>
        <w:spacing w:after="0" w:line="67" w:lineRule="exact"/>
        <w:rPr>
          <w:rFonts w:ascii="Arial" w:cs="Arial" w:eastAsia="Arial" w:hAnsi="Arial"/>
          <w:sz w:val="18"/>
          <w:szCs w:val="18"/>
          <w:b w:val="1"/>
          <w:bCs w:val="1"/>
          <w:color w:val="auto"/>
        </w:rPr>
      </w:pPr>
    </w:p>
    <w:p>
      <w:pPr>
        <w:ind w:left="720"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measures its results for tax purposes in nominal terms in NIS based on financial reporting under Israeli accounting principles, while (as detailed in note 2) the functional currency of the Company is the U.S. dollar and the Company’s financial statements are measured in</w:t>
      </w:r>
    </w:p>
    <w:p>
      <w:pPr>
        <w:ind w:left="720" w:righ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U.S. dollars and in accordance with IFRS. Therefore, there are differences between the Company’s taxable income (loss) and income (loss) reflected in these financial statements.</w:t>
      </w:r>
    </w:p>
    <w:p>
      <w:pPr>
        <w:spacing w:after="0" w:line="166" w:lineRule="exact"/>
        <w:rPr>
          <w:rFonts w:ascii="Arial" w:cs="Arial" w:eastAsia="Arial" w:hAnsi="Arial"/>
          <w:sz w:val="18"/>
          <w:szCs w:val="18"/>
          <w:b w:val="1"/>
          <w:bCs w:val="1"/>
          <w:color w:val="auto"/>
        </w:rPr>
      </w:pPr>
    </w:p>
    <w:p>
      <w:pPr>
        <w:ind w:left="720" w:hanging="352"/>
        <w:spacing w:after="0"/>
        <w:tabs>
          <w:tab w:leader="none" w:pos="7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Tax rates</w:t>
      </w:r>
    </w:p>
    <w:p>
      <w:pPr>
        <w:spacing w:after="0" w:line="80"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income of the Company is subject to the Israel corporate tax rates which was 24% for 2017 and 25% for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7" w:name="page208"/>
    <w:bookmarkEnd w:id="20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TAXES ON INCOME: (continued)</w:t>
      </w:r>
    </w:p>
    <w:p>
      <w:pPr>
        <w:spacing w:after="0" w:line="202" w:lineRule="exact"/>
        <w:rPr>
          <w:sz w:val="20"/>
          <w:szCs w:val="20"/>
          <w:color w:val="auto"/>
        </w:rPr>
      </w:pPr>
    </w:p>
    <w:p>
      <w:pPr>
        <w:ind w:left="720" w:right="120"/>
        <w:spacing w:after="0" w:line="312" w:lineRule="auto"/>
        <w:rPr>
          <w:sz w:val="20"/>
          <w:szCs w:val="20"/>
          <w:color w:val="auto"/>
        </w:rPr>
      </w:pPr>
      <w:r>
        <w:rPr>
          <w:rFonts w:ascii="Arial" w:cs="Arial" w:eastAsia="Arial" w:hAnsi="Arial"/>
          <w:sz w:val="16"/>
          <w:szCs w:val="16"/>
          <w:color w:val="auto"/>
        </w:rPr>
        <w:t>In December 2016, the Economic Efficiency Law (Legislative Amendments for Implementing the Economic Policy for the 2017 and 2018 Budget Years), 2016 was published, introducing a gradual reduction in corporate tax rate from 25% to 23%. However, the law also included a temporary provision setting the corporate tax rate in 2017 at 24%. As a result, the corporate tax rate was 24% in 2017 and will be 23% in 2018 and thereafter.</w:t>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Capital gains are subject to capital gain tax according to the corporate tax rate for the year during which the assets are sold.</w:t>
      </w:r>
    </w:p>
    <w:p>
      <w:pPr>
        <w:spacing w:after="0" w:line="275" w:lineRule="exact"/>
        <w:rPr>
          <w:sz w:val="20"/>
          <w:szCs w:val="20"/>
          <w:color w:val="auto"/>
        </w:rPr>
      </w:pPr>
    </w:p>
    <w:p>
      <w:pPr>
        <w:ind w:left="720" w:hanging="352"/>
        <w:spacing w:after="0"/>
        <w:tabs>
          <w:tab w:leader="none" w:pos="7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Losses for tax purposes carried forward to future years</w:t>
      </w:r>
    </w:p>
    <w:p>
      <w:pPr>
        <w:spacing w:after="0" w:line="107" w:lineRule="exact"/>
        <w:rPr>
          <w:rFonts w:ascii="Arial" w:cs="Arial" w:eastAsia="Arial" w:hAnsi="Arial"/>
          <w:sz w:val="18"/>
          <w:szCs w:val="18"/>
          <w:b w:val="1"/>
          <w:bCs w:val="1"/>
          <w:color w:val="auto"/>
        </w:rPr>
      </w:pPr>
    </w:p>
    <w:p>
      <w:pPr>
        <w:ind w:left="720" w:right="102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The balance of carryforward losses as of December 31, 2017 and 2016 are approximately $15.3 million and $9.9 million, respectively. Under Israeli tax law, tax loss carry forwards have no expiration date.</w:t>
      </w:r>
    </w:p>
    <w:p>
      <w:pPr>
        <w:spacing w:after="0" w:line="1" w:lineRule="exact"/>
        <w:rPr>
          <w:rFonts w:ascii="Arial" w:cs="Arial" w:eastAsia="Arial" w:hAnsi="Arial"/>
          <w:sz w:val="18"/>
          <w:szCs w:val="18"/>
          <w:b w:val="1"/>
          <w:bCs w:val="1"/>
          <w:color w:val="auto"/>
        </w:rPr>
      </w:pPr>
    </w:p>
    <w:p>
      <w:pPr>
        <w:jc w:val="both"/>
        <w:ind w:left="72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Deferred tax assets on losses for tax purposes carried forward to subsequent years are recognized if utilization of the related tax benefit against a future taxable income is expected. The Company has not created deferred tax assets on its carry forward losses and other temporary assets since their utilization is not expected in the foreseeable future.</w:t>
      </w:r>
    </w:p>
    <w:p>
      <w:pPr>
        <w:spacing w:after="0" w:line="244" w:lineRule="exact"/>
        <w:rPr>
          <w:rFonts w:ascii="Arial" w:cs="Arial" w:eastAsia="Arial" w:hAnsi="Arial"/>
          <w:sz w:val="18"/>
          <w:szCs w:val="18"/>
          <w:b w:val="1"/>
          <w:bCs w:val="1"/>
          <w:color w:val="auto"/>
        </w:rPr>
      </w:pPr>
    </w:p>
    <w:p>
      <w:pPr>
        <w:ind w:left="720" w:hanging="352"/>
        <w:spacing w:after="0"/>
        <w:tabs>
          <w:tab w:leader="none" w:pos="7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Tax assessments</w:t>
      </w:r>
    </w:p>
    <w:p>
      <w:pPr>
        <w:spacing w:after="0" w:line="107" w:lineRule="exact"/>
        <w:rPr>
          <w:rFonts w:ascii="Arial" w:cs="Arial" w:eastAsia="Arial" w:hAnsi="Arial"/>
          <w:sz w:val="18"/>
          <w:szCs w:val="18"/>
          <w:b w:val="1"/>
          <w:bCs w:val="1"/>
          <w:color w:val="auto"/>
        </w:rPr>
      </w:pPr>
    </w:p>
    <w:p>
      <w:pPr>
        <w:ind w:left="720" w:righ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Income Tax Ordinance, as of December 31, 2017, all of the Company’s tax assessments through tax year 2012 are considered final.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SUPPLEMENTARY FINANCIAL INFORMATION: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4"/>
              </w:rPr>
              <w:t>December 31,</w:t>
            </w:r>
          </w:p>
        </w:tc>
      </w:tr>
      <w:tr>
        <w:trPr>
          <w:trHeight w:val="26"/>
        </w:trPr>
        <w:tc>
          <w:tcPr>
            <w:tcW w:w="7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r>
      <w:tr>
        <w:trPr>
          <w:trHeight w:val="198"/>
        </w:trPr>
        <w:tc>
          <w:tcPr>
            <w:tcW w:w="7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220" w:type="dxa"/>
            <w:vAlign w:val="bottom"/>
            <w:gridSpan w:val="4"/>
          </w:tcPr>
          <w:p>
            <w:pPr>
              <w:jc w:val="center"/>
              <w:ind w:left="4654"/>
              <w:spacing w:after="0"/>
              <w:rPr>
                <w:sz w:val="20"/>
                <w:szCs w:val="20"/>
                <w:color w:val="auto"/>
              </w:rPr>
            </w:pPr>
            <w:r>
              <w:rPr>
                <w:rFonts w:ascii="Arial" w:cs="Arial" w:eastAsia="Arial" w:hAnsi="Arial"/>
                <w:sz w:val="14"/>
                <w:szCs w:val="14"/>
                <w:b w:val="1"/>
                <w:bCs w:val="1"/>
                <w:color w:val="auto"/>
                <w:w w:val="89"/>
              </w:rPr>
              <w:t>2017</w:t>
            </w:r>
          </w:p>
        </w:tc>
        <w:tc>
          <w:tcPr>
            <w:tcW w:w="16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26"/>
        </w:trPr>
        <w:tc>
          <w:tcPr>
            <w:tcW w:w="7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4"/>
          </w:tcPr>
          <w:p>
            <w:pPr>
              <w:ind w:left="80"/>
              <w:spacing w:after="0"/>
              <w:rPr>
                <w:sz w:val="20"/>
                <w:szCs w:val="20"/>
                <w:color w:val="auto"/>
              </w:rPr>
            </w:pPr>
            <w:r>
              <w:rPr>
                <w:rFonts w:ascii="Arial" w:cs="Arial" w:eastAsia="Arial" w:hAnsi="Arial"/>
                <w:sz w:val="14"/>
                <w:szCs w:val="14"/>
                <w:b w:val="1"/>
                <w:bCs w:val="1"/>
                <w:color w:val="auto"/>
              </w:rPr>
              <w:t>U.S. dollars in thousands</w:t>
            </w:r>
          </w:p>
        </w:tc>
      </w:tr>
      <w:tr>
        <w:trPr>
          <w:trHeight w:val="257"/>
        </w:trPr>
        <w:tc>
          <w:tcPr>
            <w:tcW w:w="7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a.</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Other current assets:</w:t>
            </w:r>
          </w:p>
        </w:tc>
        <w:tc>
          <w:tcPr>
            <w:tcW w:w="4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5220" w:type="dxa"/>
            <w:vAlign w:val="bottom"/>
            <w:gridSpan w:val="4"/>
          </w:tcPr>
          <w:p>
            <w:pPr>
              <w:jc w:val="center"/>
              <w:ind w:left="4654"/>
              <w:spacing w:after="0"/>
              <w:rPr>
                <w:sz w:val="20"/>
                <w:szCs w:val="20"/>
                <w:color w:val="auto"/>
              </w:rPr>
            </w:pPr>
            <w:r>
              <w:rPr>
                <w:rFonts w:ascii="Arial" w:cs="Arial" w:eastAsia="Arial" w:hAnsi="Arial"/>
                <w:sz w:val="18"/>
                <w:szCs w:val="18"/>
                <w:color w:val="auto"/>
                <w:w w:val="93"/>
              </w:rPr>
              <w:t>489</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38</w:t>
            </w:r>
          </w:p>
        </w:tc>
      </w:tr>
      <w:tr>
        <w:trPr>
          <w:trHeight w:val="257"/>
        </w:trPr>
        <w:tc>
          <w:tcPr>
            <w:tcW w:w="780" w:type="dxa"/>
            <w:vAlign w:val="bottom"/>
            <w:shd w:val="clear" w:color="auto" w:fill="CCEEFF"/>
          </w:tcPr>
          <w:p>
            <w:pPr>
              <w:spacing w:after="0"/>
              <w:rPr>
                <w:sz w:val="22"/>
                <w:szCs w:val="22"/>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Restricted deposits</w:t>
            </w:r>
          </w:p>
        </w:tc>
        <w:tc>
          <w:tcPr>
            <w:tcW w:w="5220" w:type="dxa"/>
            <w:vAlign w:val="bottom"/>
            <w:tcBorders>
              <w:right w:val="single" w:sz="8" w:color="CCEEFF"/>
            </w:tcBorders>
            <w:gridSpan w:val="4"/>
            <w:shd w:val="clear" w:color="auto" w:fill="CCEEFF"/>
          </w:tcPr>
          <w:p>
            <w:pPr>
              <w:ind w:left="4940"/>
              <w:spacing w:after="0"/>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r>
      <w:tr>
        <w:trPr>
          <w:trHeight w:val="263"/>
        </w:trPr>
        <w:tc>
          <w:tcPr>
            <w:tcW w:w="780" w:type="dxa"/>
            <w:vAlign w:val="bottom"/>
          </w:tcPr>
          <w:p>
            <w:pPr>
              <w:spacing w:after="0"/>
              <w:rPr>
                <w:sz w:val="22"/>
                <w:szCs w:val="22"/>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Other</w:t>
            </w:r>
          </w:p>
        </w:tc>
        <w:tc>
          <w:tcPr>
            <w:tcW w:w="4840" w:type="dxa"/>
            <w:vAlign w:val="bottom"/>
            <w:gridSpan w:val="3"/>
          </w:tcPr>
          <w:p>
            <w:pPr>
              <w:spacing w:after="0"/>
              <w:rPr>
                <w:sz w:val="22"/>
                <w:szCs w:val="22"/>
                <w:color w:val="auto"/>
              </w:rPr>
            </w:pPr>
          </w:p>
        </w:tc>
        <w:tc>
          <w:tcPr>
            <w:tcW w:w="380" w:type="dxa"/>
            <w:vAlign w:val="bottom"/>
          </w:tcPr>
          <w:p>
            <w:pPr>
              <w:jc w:val="center"/>
              <w:ind w:right="19"/>
              <w:spacing w:after="0"/>
              <w:rPr>
                <w:sz w:val="20"/>
                <w:szCs w:val="20"/>
                <w:color w:val="auto"/>
              </w:rPr>
            </w:pPr>
            <w:r>
              <w:rPr>
                <w:rFonts w:ascii="Arial" w:cs="Arial" w:eastAsia="Arial" w:hAnsi="Arial"/>
                <w:sz w:val="18"/>
                <w:szCs w:val="18"/>
                <w:color w:val="auto"/>
                <w:w w:val="93"/>
              </w:rPr>
              <w:t>159</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157</w:t>
            </w:r>
          </w:p>
        </w:tc>
      </w:tr>
      <w:tr>
        <w:trPr>
          <w:trHeight w:val="20"/>
        </w:trPr>
        <w:tc>
          <w:tcPr>
            <w:tcW w:w="78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r>
      <w:tr>
        <w:trPr>
          <w:trHeight w:val="257"/>
        </w:trPr>
        <w:tc>
          <w:tcPr>
            <w:tcW w:w="78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4840" w:type="dxa"/>
            <w:vAlign w:val="bottom"/>
            <w:tcBorders>
              <w:right w:val="single" w:sz="8" w:color="CCEEFF"/>
            </w:tcBorders>
            <w:gridSpan w:val="3"/>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center"/>
              <w:ind w:right="19"/>
              <w:spacing w:after="0"/>
              <w:rPr>
                <w:sz w:val="20"/>
                <w:szCs w:val="20"/>
                <w:color w:val="auto"/>
              </w:rPr>
            </w:pPr>
            <w:r>
              <w:rPr>
                <w:rFonts w:ascii="Arial" w:cs="Arial" w:eastAsia="Arial" w:hAnsi="Arial"/>
                <w:sz w:val="18"/>
                <w:szCs w:val="18"/>
                <w:color w:val="auto"/>
                <w:w w:val="93"/>
              </w:rPr>
              <w:t>671</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195</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r>
      <w:tr>
        <w:trPr>
          <w:trHeight w:val="401"/>
        </w:trPr>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3"/>
              </w:rPr>
              <w:t>Year ended December 31,</w:t>
            </w:r>
          </w:p>
        </w:tc>
      </w:tr>
      <w:tr>
        <w:trPr>
          <w:trHeight w:val="26"/>
        </w:trPr>
        <w:tc>
          <w:tcPr>
            <w:tcW w:w="7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r>
      <w:tr>
        <w:trPr>
          <w:trHeight w:val="198"/>
        </w:trPr>
        <w:tc>
          <w:tcPr>
            <w:tcW w:w="7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220" w:type="dxa"/>
            <w:vAlign w:val="bottom"/>
            <w:gridSpan w:val="4"/>
          </w:tcPr>
          <w:p>
            <w:pPr>
              <w:jc w:val="center"/>
              <w:ind w:left="4654"/>
              <w:spacing w:after="0"/>
              <w:rPr>
                <w:sz w:val="20"/>
                <w:szCs w:val="20"/>
                <w:color w:val="auto"/>
              </w:rPr>
            </w:pPr>
            <w:r>
              <w:rPr>
                <w:rFonts w:ascii="Arial" w:cs="Arial" w:eastAsia="Arial" w:hAnsi="Arial"/>
                <w:sz w:val="14"/>
                <w:szCs w:val="14"/>
                <w:b w:val="1"/>
                <w:bCs w:val="1"/>
                <w:color w:val="auto"/>
                <w:w w:val="89"/>
              </w:rPr>
              <w:t>2017</w:t>
            </w:r>
          </w:p>
        </w:tc>
        <w:tc>
          <w:tcPr>
            <w:tcW w:w="16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2016</w:t>
            </w:r>
          </w:p>
        </w:tc>
      </w:tr>
      <w:tr>
        <w:trPr>
          <w:trHeight w:val="26"/>
        </w:trPr>
        <w:tc>
          <w:tcPr>
            <w:tcW w:w="7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4"/>
          </w:tcPr>
          <w:p>
            <w:pPr>
              <w:ind w:left="60"/>
              <w:spacing w:after="0"/>
              <w:rPr>
                <w:sz w:val="20"/>
                <w:szCs w:val="20"/>
                <w:color w:val="auto"/>
              </w:rPr>
            </w:pPr>
            <w:r>
              <w:rPr>
                <w:rFonts w:ascii="Arial" w:cs="Arial" w:eastAsia="Arial" w:hAnsi="Arial"/>
                <w:sz w:val="14"/>
                <w:szCs w:val="14"/>
                <w:b w:val="1"/>
                <w:bCs w:val="1"/>
                <w:color w:val="auto"/>
              </w:rPr>
              <w:t>U.S. dollars in thousands</w:t>
            </w:r>
          </w:p>
        </w:tc>
      </w:tr>
      <w:tr>
        <w:trPr>
          <w:trHeight w:val="257"/>
        </w:trPr>
        <w:tc>
          <w:tcPr>
            <w:tcW w:w="7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b.</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Accounts payable – other:</w:t>
            </w:r>
          </w:p>
        </w:tc>
        <w:tc>
          <w:tcPr>
            <w:tcW w:w="4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Employees and employees related</w:t>
            </w:r>
          </w:p>
        </w:tc>
        <w:tc>
          <w:tcPr>
            <w:tcW w:w="5220" w:type="dxa"/>
            <w:vAlign w:val="bottom"/>
            <w:gridSpan w:val="4"/>
          </w:tcPr>
          <w:p>
            <w:pPr>
              <w:ind w:left="4900"/>
              <w:spacing w:after="0"/>
              <w:rPr>
                <w:sz w:val="20"/>
                <w:szCs w:val="20"/>
                <w:color w:val="auto"/>
              </w:rPr>
            </w:pPr>
            <w:r>
              <w:rPr>
                <w:rFonts w:ascii="Arial" w:cs="Arial" w:eastAsia="Arial" w:hAnsi="Arial"/>
                <w:sz w:val="18"/>
                <w:szCs w:val="18"/>
                <w:color w:val="auto"/>
                <w:w w:val="93"/>
              </w:rPr>
              <w:t>215</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139</w:t>
            </w:r>
          </w:p>
        </w:tc>
      </w:tr>
      <w:tr>
        <w:trPr>
          <w:trHeight w:val="257"/>
        </w:trPr>
        <w:tc>
          <w:tcPr>
            <w:tcW w:w="780" w:type="dxa"/>
            <w:vAlign w:val="bottom"/>
            <w:shd w:val="clear" w:color="auto" w:fill="CCEEFF"/>
          </w:tcPr>
          <w:p>
            <w:pPr>
              <w:spacing w:after="0"/>
              <w:rPr>
                <w:sz w:val="22"/>
                <w:szCs w:val="22"/>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 for vacation</w:t>
            </w:r>
          </w:p>
        </w:tc>
        <w:tc>
          <w:tcPr>
            <w:tcW w:w="5220" w:type="dxa"/>
            <w:vAlign w:val="bottom"/>
            <w:tcBorders>
              <w:right w:val="single" w:sz="8" w:color="CCEEFF"/>
            </w:tcBorders>
            <w:gridSpan w:val="4"/>
            <w:shd w:val="clear" w:color="auto" w:fill="CCEEFF"/>
          </w:tcPr>
          <w:p>
            <w:pPr>
              <w:ind w:left="4900"/>
              <w:spacing w:after="0"/>
              <w:rPr>
                <w:sz w:val="20"/>
                <w:szCs w:val="20"/>
                <w:color w:val="auto"/>
              </w:rPr>
            </w:pPr>
            <w:r>
              <w:rPr>
                <w:rFonts w:ascii="Arial" w:cs="Arial" w:eastAsia="Arial" w:hAnsi="Arial"/>
                <w:sz w:val="18"/>
                <w:szCs w:val="18"/>
                <w:color w:val="auto"/>
                <w:w w:val="93"/>
              </w:rPr>
              <w:t>214</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155</w:t>
            </w:r>
          </w:p>
        </w:tc>
      </w:tr>
      <w:tr>
        <w:trPr>
          <w:trHeight w:val="263"/>
        </w:trPr>
        <w:tc>
          <w:tcPr>
            <w:tcW w:w="780" w:type="dxa"/>
            <w:vAlign w:val="bottom"/>
          </w:tcPr>
          <w:p>
            <w:pPr>
              <w:spacing w:after="0"/>
              <w:rPr>
                <w:sz w:val="22"/>
                <w:szCs w:val="22"/>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Accrued expenses and other</w:t>
            </w:r>
          </w:p>
        </w:tc>
        <w:tc>
          <w:tcPr>
            <w:tcW w:w="4840" w:type="dxa"/>
            <w:vAlign w:val="bottom"/>
            <w:gridSpan w:val="3"/>
          </w:tcPr>
          <w:p>
            <w:pPr>
              <w:spacing w:after="0"/>
              <w:rPr>
                <w:sz w:val="22"/>
                <w:szCs w:val="22"/>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93"/>
              </w:rPr>
              <w:t>995</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310</w:t>
            </w:r>
          </w:p>
        </w:tc>
      </w:tr>
      <w:tr>
        <w:trPr>
          <w:trHeight w:val="20"/>
        </w:trPr>
        <w:tc>
          <w:tcPr>
            <w:tcW w:w="78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r>
      <w:tr>
        <w:trPr>
          <w:trHeight w:val="257"/>
        </w:trPr>
        <w:tc>
          <w:tcPr>
            <w:tcW w:w="78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5220" w:type="dxa"/>
            <w:vAlign w:val="bottom"/>
            <w:tcBorders>
              <w:right w:val="single" w:sz="8" w:color="CCEEFF"/>
            </w:tcBorders>
            <w:gridSpan w:val="4"/>
            <w:shd w:val="clear" w:color="auto" w:fill="CCEEFF"/>
          </w:tcPr>
          <w:p>
            <w:pPr>
              <w:jc w:val="center"/>
              <w:ind w:left="4654"/>
              <w:spacing w:after="0"/>
              <w:rPr>
                <w:sz w:val="20"/>
                <w:szCs w:val="20"/>
                <w:color w:val="auto"/>
              </w:rPr>
            </w:pPr>
            <w:r>
              <w:rPr>
                <w:rFonts w:ascii="Arial" w:cs="Arial" w:eastAsia="Arial" w:hAnsi="Arial"/>
                <w:sz w:val="18"/>
                <w:szCs w:val="18"/>
                <w:color w:val="auto"/>
                <w:w w:val="88"/>
              </w:rPr>
              <w:t>1,424</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604</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r>
      <w:tr>
        <w:trPr>
          <w:trHeight w:val="521"/>
        </w:trPr>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20" w:type="dxa"/>
            <w:vAlign w:val="bottom"/>
            <w:gridSpan w:val="4"/>
          </w:tcPr>
          <w:p>
            <w:pPr>
              <w:ind w:left="1000"/>
              <w:spacing w:after="0"/>
              <w:rPr>
                <w:sz w:val="20"/>
                <w:szCs w:val="20"/>
                <w:color w:val="auto"/>
              </w:rPr>
            </w:pPr>
            <w:r>
              <w:rPr>
                <w:rFonts w:ascii="Arial" w:cs="Arial" w:eastAsia="Arial" w:hAnsi="Arial"/>
                <w:sz w:val="18"/>
                <w:szCs w:val="18"/>
                <w:color w:val="auto"/>
              </w:rPr>
              <w:t>F-28</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85"/>
        </w:trPr>
        <w:tc>
          <w:tcPr>
            <w:tcW w:w="7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-2220595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-3009265</wp:posOffset>
            </wp:positionV>
            <wp:extent cx="1371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-1585595</wp:posOffset>
            </wp:positionV>
            <wp:extent cx="1371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BASIC AND DILUTED LOSS PER SHARE: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Basic</w:t>
      </w:r>
    </w:p>
    <w:p>
      <w:pPr>
        <w:spacing w:after="0" w:line="108" w:lineRule="exact"/>
        <w:rPr>
          <w:sz w:val="20"/>
          <w:szCs w:val="20"/>
          <w:color w:val="auto"/>
        </w:rPr>
      </w:pPr>
    </w:p>
    <w:p>
      <w:pPr>
        <w:ind w:left="360" w:right="500"/>
        <w:spacing w:after="0" w:line="277" w:lineRule="auto"/>
        <w:rPr>
          <w:sz w:val="20"/>
          <w:szCs w:val="20"/>
          <w:color w:val="auto"/>
        </w:rPr>
      </w:pPr>
      <w:r>
        <w:rPr>
          <w:rFonts w:ascii="Arial" w:cs="Arial" w:eastAsia="Arial" w:hAnsi="Arial"/>
          <w:sz w:val="18"/>
          <w:szCs w:val="18"/>
          <w:color w:val="auto"/>
        </w:rPr>
        <w:t>Basic loss per share is calculated by dividing the result attributable to equity holders of the Company by the weighted average number of Ordinary Shares in issue during the year.</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Diluted</w:t>
      </w:r>
    </w:p>
    <w:p>
      <w:pPr>
        <w:spacing w:after="0" w:line="108"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All outstanding options have been excluded from the calculation of the diluted loss per share for the year ended December 31, 2016 since their effect was anti-dilutive. The total number of ordinary shares related to the outstanding options excluded from the calculation of diluted loss per share was 8,136 for the year ended December 31, 2016.</w:t>
      </w:r>
    </w:p>
    <w:p>
      <w:pPr>
        <w:spacing w:after="0" w:line="73" w:lineRule="exact"/>
        <w:rPr>
          <w:sz w:val="20"/>
          <w:szCs w:val="20"/>
          <w:color w:val="auto"/>
        </w:rPr>
      </w:pPr>
    </w:p>
    <w:p>
      <w:pPr>
        <w:ind w:left="360" w:right="260"/>
        <w:spacing w:after="0" w:line="277" w:lineRule="auto"/>
        <w:rPr>
          <w:sz w:val="20"/>
          <w:szCs w:val="20"/>
          <w:color w:val="auto"/>
        </w:rPr>
      </w:pPr>
      <w:r>
        <w:rPr>
          <w:rFonts w:ascii="Arial" w:cs="Arial" w:eastAsia="Arial" w:hAnsi="Arial"/>
          <w:sz w:val="18"/>
          <w:szCs w:val="18"/>
          <w:color w:val="auto"/>
        </w:rPr>
        <w:t>The 2015 Convertible Loan, the 2016 Convertible Loan, warrants and liability to issue preferred shares were not taken into account in the diluted loss per share calculation for the year ended December 31, 2016, as the conversion terms depend on future events.</w:t>
      </w:r>
    </w:p>
    <w:p>
      <w:pPr>
        <w:spacing w:after="0" w:line="62" w:lineRule="exact"/>
        <w:rPr>
          <w:sz w:val="20"/>
          <w:szCs w:val="20"/>
          <w:color w:val="auto"/>
        </w:rPr>
      </w:pPr>
    </w:p>
    <w:p>
      <w:pPr>
        <w:ind w:left="360" w:right="40"/>
        <w:spacing w:after="0" w:line="259" w:lineRule="auto"/>
        <w:rPr>
          <w:sz w:val="20"/>
          <w:szCs w:val="20"/>
          <w:color w:val="auto"/>
        </w:rPr>
      </w:pPr>
      <w:r>
        <w:rPr>
          <w:rFonts w:ascii="Arial" w:cs="Arial" w:eastAsia="Arial" w:hAnsi="Arial"/>
          <w:sz w:val="18"/>
          <w:szCs w:val="18"/>
          <w:color w:val="auto"/>
        </w:rPr>
        <w:t>All outstanding options, 2012 Convertible Loan, 2016 Convertible loan, preferred shares and warrants to issue preferred shares have been excluded from the calculation of the diluted loss per share for the year ended December 31, 2017 since their effect was anti-dilutive. The total number of ordinary shares related to the 2012 Convertible Loan, 2016 Convertible Loan, preferred shares and warrants to issue preferred shares excluded from the calculation of diluted loss per share was 59,131 for the year ended December 31, 2017.</w:t>
      </w:r>
    </w:p>
    <w:p>
      <w:pPr>
        <w:spacing w:after="0" w:line="79" w:lineRule="exact"/>
        <w:rPr>
          <w:sz w:val="20"/>
          <w:szCs w:val="20"/>
          <w:color w:val="auto"/>
        </w:rPr>
      </w:pPr>
    </w:p>
    <w:p>
      <w:pPr>
        <w:ind w:left="360" w:right="240"/>
        <w:spacing w:after="0" w:line="277" w:lineRule="auto"/>
        <w:rPr>
          <w:sz w:val="20"/>
          <w:szCs w:val="20"/>
          <w:color w:val="auto"/>
        </w:rPr>
      </w:pPr>
      <w:r>
        <w:rPr>
          <w:rFonts w:ascii="Arial" w:cs="Arial" w:eastAsia="Arial" w:hAnsi="Arial"/>
          <w:sz w:val="18"/>
          <w:szCs w:val="18"/>
          <w:color w:val="auto"/>
        </w:rPr>
        <w:t>The 2015 Convertible Loan, warrants and liability to issue preferred shares were not taken into account in the diluted loss per share calculation for the year ended December 31, 2017, as the conversion terms depend on future events.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7"/>
                <w:szCs w:val="17"/>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U.S. dollars (except for</w:t>
            </w:r>
          </w:p>
        </w:tc>
        <w:tc>
          <w:tcPr>
            <w:tcW w:w="0" w:type="dxa"/>
            <w:vAlign w:val="bottom"/>
          </w:tcPr>
          <w:p>
            <w:pPr>
              <w:spacing w:after="0"/>
              <w:rPr>
                <w:sz w:val="1"/>
                <w:szCs w:val="1"/>
                <w:color w:val="auto"/>
              </w:rPr>
            </w:pPr>
          </w:p>
        </w:tc>
      </w:tr>
      <w:tr>
        <w:trPr>
          <w:trHeight w:val="185"/>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share numbers)</w:t>
            </w:r>
          </w:p>
        </w:tc>
        <w:tc>
          <w:tcPr>
            <w:tcW w:w="0" w:type="dxa"/>
            <w:vAlign w:val="bottom"/>
          </w:tcPr>
          <w:p>
            <w:pPr>
              <w:spacing w:after="0"/>
              <w:rPr>
                <w:sz w:val="1"/>
                <w:szCs w:val="1"/>
                <w:color w:val="auto"/>
              </w:rPr>
            </w:pPr>
          </w:p>
        </w:tc>
      </w:tr>
      <w:tr>
        <w:trPr>
          <w:trHeight w:val="257"/>
        </w:trPr>
        <w:tc>
          <w:tcPr>
            <w:tcW w:w="8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Loss attributable to equity holders of the Company</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8"/>
              </w:rPr>
              <w:t>11,197,000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1,199,000</w:t>
            </w:r>
          </w:p>
        </w:tc>
        <w:tc>
          <w:tcPr>
            <w:tcW w:w="0" w:type="dxa"/>
            <w:vAlign w:val="bottom"/>
          </w:tcPr>
          <w:p>
            <w:pPr>
              <w:spacing w:after="0"/>
              <w:rPr>
                <w:sz w:val="1"/>
                <w:szCs w:val="1"/>
                <w:color w:val="auto"/>
              </w:rPr>
            </w:pPr>
          </w:p>
        </w:tc>
      </w:tr>
      <w:tr>
        <w:trPr>
          <w:trHeight w:val="263"/>
        </w:trPr>
        <w:tc>
          <w:tcPr>
            <w:tcW w:w="8860" w:type="dxa"/>
            <w:vAlign w:val="bottom"/>
            <w:gridSpan w:val="2"/>
          </w:tcPr>
          <w:p>
            <w:pPr>
              <w:ind w:left="520"/>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4,125,000</w:t>
            </w:r>
          </w:p>
        </w:tc>
        <w:tc>
          <w:tcPr>
            <w:tcW w:w="0" w:type="dxa"/>
            <w:vAlign w:val="bottom"/>
          </w:tcPr>
          <w:p>
            <w:pPr>
              <w:spacing w:after="0"/>
              <w:rPr>
                <w:sz w:val="1"/>
                <w:szCs w:val="1"/>
                <w:color w:val="auto"/>
              </w:rPr>
            </w:pPr>
          </w:p>
        </w:tc>
      </w:tr>
      <w:tr>
        <w:trPr>
          <w:trHeight w:val="20"/>
        </w:trPr>
        <w:tc>
          <w:tcPr>
            <w:tcW w:w="85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Loss used for the computation of diluted loss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11,197,000</w:t>
            </w:r>
          </w:p>
        </w:tc>
        <w:tc>
          <w:tcPr>
            <w:tcW w:w="7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5,324,000</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gridSpan w:val="2"/>
            <w:vMerge w:val="restart"/>
          </w:tcPr>
          <w:p>
            <w:pPr>
              <w:ind w:left="520"/>
              <w:spacing w:after="0"/>
              <w:rPr>
                <w:sz w:val="20"/>
                <w:szCs w:val="20"/>
                <w:color w:val="auto"/>
              </w:rPr>
            </w:pPr>
            <w:r>
              <w:rPr>
                <w:rFonts w:ascii="Arial" w:cs="Arial" w:eastAsia="Arial" w:hAnsi="Arial"/>
                <w:sz w:val="18"/>
                <w:szCs w:val="18"/>
                <w:color w:val="auto"/>
              </w:rPr>
              <w:t>Weighted average number of Ordinary Shares used in the computation of basic loss per share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6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34,544</w:t>
            </w: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8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Add:</w:t>
            </w: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60" w:type="dxa"/>
            <w:vAlign w:val="bottom"/>
            <w:gridSpan w:val="2"/>
          </w:tcPr>
          <w:p>
            <w:pPr>
              <w:ind w:left="520"/>
              <w:spacing w:after="0"/>
              <w:rPr>
                <w:sz w:val="20"/>
                <w:szCs w:val="20"/>
                <w:color w:val="auto"/>
              </w:rPr>
            </w:pPr>
            <w:r>
              <w:rPr>
                <w:rFonts w:ascii="Arial" w:cs="Arial" w:eastAsia="Arial" w:hAnsi="Arial"/>
                <w:sz w:val="18"/>
                <w:szCs w:val="18"/>
                <w:color w:val="auto"/>
              </w:rPr>
              <w:t>Weighted average number of additional shares issuable upon the assumed conversion/exercise of 2012</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ind w:left="700"/>
              <w:spacing w:after="0"/>
              <w:rPr>
                <w:sz w:val="20"/>
                <w:szCs w:val="20"/>
                <w:color w:val="auto"/>
              </w:rPr>
            </w:pPr>
            <w:r>
              <w:rPr>
                <w:rFonts w:ascii="Arial" w:cs="Arial" w:eastAsia="Arial" w:hAnsi="Arial"/>
                <w:sz w:val="18"/>
                <w:szCs w:val="18"/>
                <w:color w:val="auto"/>
              </w:rPr>
              <w:t>convertible loan, preferred shares and warrants to issue preferred shares</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17,563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Weighted average number of Ordinary Shares used in the computation of diluted loss per share</w:t>
            </w:r>
          </w:p>
        </w:tc>
        <w:tc>
          <w:tcPr>
            <w:tcW w:w="158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34,544</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51,972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60" w:type="dxa"/>
            <w:vAlign w:val="bottom"/>
            <w:gridSpan w:val="2"/>
          </w:tcPr>
          <w:p>
            <w:pPr>
              <w:ind w:left="520"/>
              <w:spacing w:after="0"/>
              <w:rPr>
                <w:sz w:val="20"/>
                <w:szCs w:val="20"/>
                <w:color w:val="auto"/>
              </w:rPr>
            </w:pPr>
            <w:r>
              <w:rPr>
                <w:rFonts w:ascii="Arial" w:cs="Arial" w:eastAsia="Arial" w:hAnsi="Arial"/>
                <w:sz w:val="18"/>
                <w:szCs w:val="18"/>
                <w:color w:val="auto"/>
              </w:rPr>
              <w:t>Basic loss per Ordinary Share</w:t>
            </w: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7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Diluted loss per Ordinary Share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7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Arial" w:cs="Arial" w:eastAsia="Arial" w:hAnsi="Arial"/>
                <w:sz w:val="18"/>
                <w:szCs w:val="18"/>
                <w:color w:val="auto"/>
              </w:rPr>
              <w:t>F-29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8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-2649220</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9" w:name="page210"/>
    <w:bookmarkEnd w:id="20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PARTIES — TRANSACTIONS AND BALANCES:</w:t>
      </w:r>
    </w:p>
    <w:p>
      <w:pPr>
        <w:spacing w:after="0" w:line="198" w:lineRule="exact"/>
        <w:rPr>
          <w:sz w:val="20"/>
          <w:szCs w:val="20"/>
          <w:color w:val="auto"/>
        </w:rPr>
      </w:pPr>
    </w:p>
    <w:p>
      <w:pPr>
        <w:ind w:left="720" w:hanging="352"/>
        <w:spacing w:after="0"/>
        <w:tabs>
          <w:tab w:leader="none" w:pos="7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94" w:lineRule="exact"/>
        <w:rPr>
          <w:rFonts w:ascii="Arial" w:cs="Arial" w:eastAsia="Arial" w:hAnsi="Arial"/>
          <w:sz w:val="18"/>
          <w:szCs w:val="18"/>
          <w:b w:val="1"/>
          <w:bCs w:val="1"/>
          <w:color w:val="auto"/>
        </w:rPr>
      </w:pPr>
    </w:p>
    <w:p>
      <w:pPr>
        <w:ind w:left="1080" w:right="1000" w:hanging="352"/>
        <w:spacing w:after="0" w:line="277" w:lineRule="auto"/>
        <w:tabs>
          <w:tab w:leader="none" w:pos="10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Key management personnel include members of the Board of Directors, the Chief Executive Officer, Chief Operating Officer and Chief Financial Officer.</w:t>
      </w:r>
    </w:p>
    <w:p>
      <w:pPr>
        <w:spacing w:after="0" w:line="75" w:lineRule="exact"/>
        <w:rPr>
          <w:rFonts w:ascii="Arial" w:cs="Arial" w:eastAsia="Arial" w:hAnsi="Arial"/>
          <w:sz w:val="18"/>
          <w:szCs w:val="18"/>
          <w:color w:val="auto"/>
        </w:rPr>
      </w:pPr>
    </w:p>
    <w:p>
      <w:pPr>
        <w:ind w:left="1080" w:right="720" w:hanging="352"/>
        <w:spacing w:after="0" w:line="259" w:lineRule="auto"/>
        <w:tabs>
          <w:tab w:leader="none" w:pos="10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On March 27, 2017, the board of directors approved the nomination of Mr. Luke Beshar as Executive chairman of the board and Dr. Roger Garceau as Chief Development Advisor. The nominations and the compensation were subject to shareholder approval that was received on April 6, 2017. According to the agreements with Mr. Luke Beshar, and Dr. Graceau, Mr. Beshar and Dr. Graceau will receive a monthly fee in the amount of $21,500 and $6,500, respectively.</w:t>
      </w:r>
    </w:p>
    <w:p>
      <w:pPr>
        <w:spacing w:after="0" w:line="92" w:lineRule="exact"/>
        <w:rPr>
          <w:rFonts w:ascii="Arial" w:cs="Arial" w:eastAsia="Arial" w:hAnsi="Arial"/>
          <w:sz w:val="18"/>
          <w:szCs w:val="18"/>
          <w:color w:val="auto"/>
        </w:rPr>
      </w:pPr>
    </w:p>
    <w:p>
      <w:pPr>
        <w:ind w:left="1080" w:hanging="352"/>
        <w:spacing w:after="0"/>
        <w:tabs>
          <w:tab w:leader="none" w:pos="10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During 2017 and 2016, the Company granted stock options to certain key management personnel and directors, see note 10b.</w:t>
      </w:r>
    </w:p>
    <w:p>
      <w:pPr>
        <w:spacing w:after="0" w:line="130" w:lineRule="exact"/>
        <w:rPr>
          <w:rFonts w:ascii="Arial" w:cs="Arial" w:eastAsia="Arial" w:hAnsi="Arial"/>
          <w:sz w:val="18"/>
          <w:szCs w:val="18"/>
          <w:color w:val="auto"/>
        </w:rPr>
      </w:pPr>
    </w:p>
    <w:p>
      <w:pPr>
        <w:ind w:left="1080" w:right="740" w:hanging="352"/>
        <w:spacing w:after="0" w:line="264" w:lineRule="auto"/>
        <w:tabs>
          <w:tab w:leader="none" w:pos="10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During 2017, certain related parties was participated in the Preferred B Financing. Concurrently with the Preferred B Financing the 2016 Convertible loan converted and as a result a few of the Company’s related parties received Series B-1 preferred shares, see note 8(b).</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U.S. dollars in thousands</w:t>
            </w:r>
          </w:p>
        </w:tc>
        <w:tc>
          <w:tcPr>
            <w:tcW w:w="0" w:type="dxa"/>
            <w:vAlign w:val="bottom"/>
          </w:tcPr>
          <w:p>
            <w:pPr>
              <w:spacing w:after="0"/>
              <w:rPr>
                <w:sz w:val="1"/>
                <w:szCs w:val="1"/>
                <w:color w:val="auto"/>
              </w:rPr>
            </w:pPr>
          </w:p>
        </w:tc>
      </w:tr>
      <w:tr>
        <w:trPr>
          <w:trHeight w:val="257"/>
        </w:trPr>
        <w:tc>
          <w:tcPr>
            <w:tcW w:w="92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5)  Key management compensation:</w:t>
            </w:r>
          </w:p>
        </w:tc>
        <w:tc>
          <w:tcPr>
            <w:tcW w:w="10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220" w:type="dxa"/>
            <w:vAlign w:val="bottom"/>
            <w:gridSpan w:val="3"/>
          </w:tcPr>
          <w:p>
            <w:pPr>
              <w:ind w:left="1660"/>
              <w:spacing w:after="0"/>
              <w:rPr>
                <w:sz w:val="20"/>
                <w:szCs w:val="20"/>
                <w:color w:val="auto"/>
              </w:rPr>
            </w:pPr>
            <w:r>
              <w:rPr>
                <w:rFonts w:ascii="Arial" w:cs="Arial" w:eastAsia="Arial" w:hAnsi="Arial"/>
                <w:sz w:val="18"/>
                <w:szCs w:val="18"/>
                <w:color w:val="auto"/>
              </w:rPr>
              <w:t>Labor cost and related expenses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1,048</w:t>
            </w:r>
          </w:p>
        </w:tc>
        <w:tc>
          <w:tcPr>
            <w:tcW w:w="1740" w:type="dxa"/>
            <w:vAlign w:val="bottom"/>
            <w:gridSpan w:val="4"/>
          </w:tcPr>
          <w:p>
            <w:pPr>
              <w:jc w:val="right"/>
              <w:ind w:right="4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57"/>
        </w:trPr>
        <w:tc>
          <w:tcPr>
            <w:tcW w:w="922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Share-based compensation</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4,694</w:t>
            </w:r>
          </w:p>
        </w:tc>
        <w:tc>
          <w:tcPr>
            <w:tcW w:w="17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57"/>
        </w:trPr>
        <w:tc>
          <w:tcPr>
            <w:tcW w:w="9220" w:type="dxa"/>
            <w:vAlign w:val="bottom"/>
            <w:gridSpan w:val="3"/>
          </w:tcPr>
          <w:p>
            <w:pPr>
              <w:ind w:left="1660"/>
              <w:spacing w:after="0"/>
              <w:rPr>
                <w:sz w:val="20"/>
                <w:szCs w:val="20"/>
                <w:color w:val="auto"/>
              </w:rPr>
            </w:pPr>
            <w:r>
              <w:rPr>
                <w:rFonts w:ascii="Arial" w:cs="Arial" w:eastAsia="Arial" w:hAnsi="Arial"/>
                <w:sz w:val="18"/>
                <w:szCs w:val="18"/>
                <w:color w:val="auto"/>
              </w:rPr>
              <w:t>Directors fee and services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1740" w:type="dxa"/>
            <w:vAlign w:val="bottom"/>
            <w:gridSpan w:val="4"/>
          </w:tcPr>
          <w:p>
            <w:pPr>
              <w:jc w:val="right"/>
              <w:ind w:right="4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3"/>
        </w:trPr>
        <w:tc>
          <w:tcPr>
            <w:tcW w:w="922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Others</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7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6,428</w:t>
            </w:r>
          </w:p>
        </w:tc>
        <w:tc>
          <w:tcPr>
            <w:tcW w:w="1740" w:type="dxa"/>
            <w:vAlign w:val="bottom"/>
            <w:gridSpan w:val="4"/>
          </w:tcPr>
          <w:p>
            <w:pPr>
              <w:jc w:val="right"/>
              <w:ind w:right="44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0"/>
        </w:trPr>
        <w:tc>
          <w:tcPr>
            <w:tcW w:w="922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b.   Balances with related parties: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U.S. dollars in thousands</w:t>
            </w:r>
          </w:p>
        </w:tc>
        <w:tc>
          <w:tcPr>
            <w:tcW w:w="0" w:type="dxa"/>
            <w:vAlign w:val="bottom"/>
          </w:tcPr>
          <w:p>
            <w:pPr>
              <w:spacing w:after="0"/>
              <w:rPr>
                <w:sz w:val="1"/>
                <w:szCs w:val="1"/>
                <w:color w:val="auto"/>
              </w:rPr>
            </w:pPr>
          </w:p>
        </w:tc>
      </w:tr>
      <w:tr>
        <w:trPr>
          <w:trHeight w:val="257"/>
        </w:trPr>
        <w:tc>
          <w:tcPr>
            <w:tcW w:w="92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Key management:</w:t>
            </w:r>
          </w:p>
        </w:tc>
        <w:tc>
          <w:tcPr>
            <w:tcW w:w="10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9220" w:type="dxa"/>
            <w:vAlign w:val="bottom"/>
            <w:tcBorders>
              <w:bottom w:val="single" w:sz="8" w:color="CCEEFF"/>
            </w:tcBorders>
            <w:gridSpan w:val="3"/>
          </w:tcPr>
          <w:p>
            <w:pPr>
              <w:ind w:left="1300"/>
              <w:spacing w:after="0"/>
              <w:rPr>
                <w:sz w:val="20"/>
                <w:szCs w:val="20"/>
                <w:color w:val="auto"/>
              </w:rPr>
            </w:pPr>
            <w:r>
              <w:rPr>
                <w:rFonts w:ascii="Arial" w:cs="Arial" w:eastAsia="Arial" w:hAnsi="Arial"/>
                <w:sz w:val="18"/>
                <w:szCs w:val="18"/>
                <w:color w:val="auto"/>
              </w:rPr>
              <w:t>Payables and accrued expenses</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93</w:t>
            </w:r>
          </w:p>
        </w:tc>
        <w:tc>
          <w:tcPr>
            <w:tcW w:w="980" w:type="dxa"/>
            <w:vAlign w:val="bottom"/>
            <w:tcBorders>
              <w:bottom w:val="single" w:sz="8" w:color="CCEEFF"/>
            </w:tcBorders>
            <w:gridSpan w:val="2"/>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20" w:type="dxa"/>
            <w:vAlign w:val="bottom"/>
            <w:tcBorders>
              <w:bottom w:val="single" w:sz="8" w:color="CCEEFF"/>
            </w:tcBorders>
            <w:gridSpan w:val="3"/>
            <w:shd w:val="clear" w:color="auto" w:fill="CCEEFF"/>
          </w:tcPr>
          <w:p>
            <w:pPr>
              <w:ind w:left="1300"/>
              <w:spacing w:after="0"/>
              <w:rPr>
                <w:sz w:val="20"/>
                <w:szCs w:val="20"/>
                <w:color w:val="auto"/>
              </w:rPr>
            </w:pPr>
            <w:r>
              <w:rPr>
                <w:rFonts w:ascii="Arial" w:cs="Arial" w:eastAsia="Arial" w:hAnsi="Arial"/>
                <w:sz w:val="18"/>
                <w:szCs w:val="18"/>
                <w:color w:val="auto"/>
              </w:rPr>
              <w:t>Severance pay obligations</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w:t>
            </w:r>
          </w:p>
        </w:tc>
        <w:tc>
          <w:tcPr>
            <w:tcW w:w="98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20" w:type="dxa"/>
            <w:vAlign w:val="bottom"/>
            <w:gridSpan w:val="3"/>
          </w:tcPr>
          <w:p>
            <w:pPr>
              <w:ind w:left="1300"/>
              <w:spacing w:after="0"/>
              <w:rPr>
                <w:sz w:val="20"/>
                <w:szCs w:val="20"/>
                <w:color w:val="auto"/>
              </w:rPr>
            </w:pPr>
            <w:r>
              <w:rPr>
                <w:rFonts w:ascii="Arial" w:cs="Arial" w:eastAsia="Arial" w:hAnsi="Arial"/>
                <w:sz w:val="18"/>
                <w:szCs w:val="18"/>
                <w:color w:val="auto"/>
              </w:rPr>
              <w:t>Provision for vacation</w:t>
            </w:r>
          </w:p>
        </w:tc>
        <w:tc>
          <w:tcPr>
            <w:tcW w:w="460" w:type="dxa"/>
            <w:vAlign w:val="bottom"/>
            <w:gridSpan w:val="2"/>
          </w:tcPr>
          <w:p>
            <w:pPr>
              <w:jc w:val="right"/>
              <w:ind w:right="19"/>
              <w:spacing w:after="0"/>
              <w:rPr>
                <w:sz w:val="20"/>
                <w:szCs w:val="20"/>
                <w:color w:val="auto"/>
              </w:rPr>
            </w:pPr>
            <w:r>
              <w:rPr>
                <w:rFonts w:ascii="Arial" w:cs="Arial" w:eastAsia="Arial" w:hAnsi="Arial"/>
                <w:sz w:val="18"/>
                <w:szCs w:val="18"/>
                <w:color w:val="auto"/>
              </w:rPr>
              <w:t>186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20" w:type="dxa"/>
            <w:vAlign w:val="bottom"/>
            <w:tcBorders>
              <w:top w:val="single" w:sz="8" w:color="CCEEFF"/>
              <w:bottom w:val="single" w:sz="8" w:color="CCEEFF"/>
            </w:tcBorders>
            <w:gridSpan w:val="3"/>
            <w:shd w:val="clear" w:color="auto" w:fill="CCEEFF"/>
          </w:tcPr>
          <w:p>
            <w:pPr>
              <w:ind w:left="1300"/>
              <w:spacing w:after="0"/>
              <w:rPr>
                <w:sz w:val="20"/>
                <w:szCs w:val="20"/>
                <w:color w:val="auto"/>
              </w:rPr>
            </w:pPr>
            <w:r>
              <w:rPr>
                <w:rFonts w:ascii="Arial" w:cs="Arial" w:eastAsia="Arial" w:hAnsi="Arial"/>
                <w:sz w:val="18"/>
                <w:szCs w:val="18"/>
                <w:color w:val="auto"/>
              </w:rPr>
              <w:t>Directors fee and services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w:t>
            </w:r>
          </w:p>
        </w:tc>
        <w:tc>
          <w:tcPr>
            <w:tcW w:w="9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-2872105</wp:posOffset>
            </wp:positionV>
            <wp:extent cx="1371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-1045845</wp:posOffset>
            </wp:positionV>
            <wp:extent cx="137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08"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On January 10, 2018, the Company appointed Dr. Eric Lang as the Company’s Chief Medical Officer, effective January 15, 2018. Mr. Lang will replace Dr. Miriam Blum, who has served as the Company’s Chief Medical Officer since January 2015. In connection with Dr. Lang’s appointment as the Company’s new Chief Medical Officer, the Company’s Board of Directors approved an increase to the available pool of ordinary shares reserved under the Company’s current share incentive plan and granted Dr. Lang options to purchase 850 ordinary shares at an exercise price of $820 per share.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0" w:name="page211"/>
    <w:bookmarkEnd w:id="21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1180465</wp:posOffset>
            </wp:positionV>
            <wp:extent cx="2160905" cy="13379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60905" cy="13379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3556000</wp:posOffset>
            </wp:positionV>
            <wp:extent cx="343916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156845</wp:posOffset>
            </wp:positionV>
            <wp:extent cx="34391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Sole Bookrunning Manager</w:t>
      </w: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Co-Manager</w:t>
      </w: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Joseph Gunnar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18" w:lineRule="auto"/>
        <w:rPr>
          <w:sz w:val="20"/>
          <w:szCs w:val="20"/>
          <w:color w:val="auto"/>
        </w:rPr>
      </w:pPr>
      <w:r>
        <w:rPr>
          <w:rFonts w:ascii="Arial" w:cs="Arial" w:eastAsia="Arial" w:hAnsi="Arial"/>
          <w:sz w:val="18"/>
          <w:szCs w:val="18"/>
          <w:b w:val="1"/>
          <w:bCs w:val="1"/>
          <w:color w:val="auto"/>
        </w:rPr>
        <w:t>Until , 2018 (the 25</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349250</wp:posOffset>
            </wp:positionV>
            <wp:extent cx="72720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80"/>
          </w:cols>
          <w:pgMar w:left="240" w:top="132" w:right="679" w:bottom="1440" w:gutter="0" w:footer="0" w:header="0"/>
        </w:sectPr>
      </w:pPr>
    </w:p>
    <w:bookmarkStart w:id="211" w:name="page212"/>
    <w:bookmarkEnd w:id="21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amended Articles set forth the following provisions regarding the grant of insurance coverage, indemnification and an exemption from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spacing w:after="0" w:line="6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We are entitled to insure the liability of any director or officer to the fullest extent permitted by law. Without derogating from the aforesaid, we</w:t>
      </w:r>
      <w:r>
        <w:rPr>
          <w:rFonts w:ascii="Arial" w:cs="Arial" w:eastAsia="Arial" w:hAnsi="Arial"/>
          <w:sz w:val="18"/>
          <w:szCs w:val="18"/>
          <w:i w:val="1"/>
          <w:iCs w:val="1"/>
          <w:color w:val="auto"/>
        </w:rPr>
        <w:t xml:space="preserve"> </w:t>
      </w:r>
      <w:r>
        <w:rPr>
          <w:rFonts w:ascii="Arial" w:cs="Arial" w:eastAsia="Arial" w:hAnsi="Arial"/>
          <w:sz w:val="18"/>
          <w:szCs w:val="18"/>
          <w:color w:val="auto"/>
        </w:rPr>
        <w:t>may enter into a contract to insure the liability of a director or officer for an obligation imposed on him or her in consequence of an act done in his or her capacity as such, in any of the following cases:</w:t>
      </w:r>
    </w:p>
    <w:p>
      <w:pPr>
        <w:spacing w:after="0" w:line="87" w:lineRule="exact"/>
        <w:rPr>
          <w:sz w:val="20"/>
          <w:szCs w:val="20"/>
          <w:color w:val="auto"/>
        </w:rPr>
      </w:pPr>
    </w:p>
    <w:p>
      <w:pPr>
        <w:ind w:left="720" w:hanging="352"/>
        <w:spacing w:after="0"/>
        <w:tabs>
          <w:tab w:leader="none" w:pos="7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breach of the duty of care toward us or a third party, to the extent such a breach arises out of the negligent conduct of the office holder;</w:t>
      </w:r>
    </w:p>
    <w:p>
      <w:pPr>
        <w:spacing w:after="0" w:line="128" w:lineRule="exact"/>
        <w:rPr>
          <w:rFonts w:ascii="Arial" w:cs="Arial" w:eastAsia="Arial" w:hAnsi="Arial"/>
          <w:sz w:val="17"/>
          <w:szCs w:val="17"/>
          <w:color w:val="auto"/>
        </w:rPr>
      </w:pPr>
    </w:p>
    <w:p>
      <w:pPr>
        <w:ind w:left="720" w:right="580" w:hanging="352"/>
        <w:spacing w:after="0" w:line="277" w:lineRule="auto"/>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breach of the duty of loyalty toward us, provided that the director or officer acted in good faith and had reasonable basis to believe that the act would not harm us;</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monetary obligation imposed on him or her in favor of a third party;</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payment imposed on him or her in favor of an injured party as set forth in Section 52(54)(a)(1)(a) of the Israeli Securities Law; or</w:t>
      </w:r>
    </w:p>
    <w:p>
      <w:pPr>
        <w:spacing w:after="0" w:line="130" w:lineRule="exact"/>
        <w:rPr>
          <w:rFonts w:ascii="Arial" w:cs="Arial" w:eastAsia="Arial" w:hAnsi="Arial"/>
          <w:sz w:val="18"/>
          <w:szCs w:val="18"/>
          <w:color w:val="auto"/>
        </w:rPr>
      </w:pPr>
    </w:p>
    <w:p>
      <w:pPr>
        <w:ind w:left="720" w:right="680" w:hanging="352"/>
        <w:spacing w:after="0" w:line="264" w:lineRule="auto"/>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him or her in connection with a proceeding under Chapters H’3, H’4 or I’l of the Israeli Securities Law or under Article D of the Fourth Chapter, Ninth Part of the Companies Law, if applicable, including reasonable legal expenses, which term includes attorney fees.</w:t>
      </w:r>
    </w:p>
    <w:p>
      <w:pPr>
        <w:spacing w:after="0" w:line="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are entitled to indemnify a director or officer to the fullest extent permitted by law, either retroactively or pursuant to an undertaking</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advance. Without derogating from the aforesaid, we may indemnify our directors or officers for liability or expense imposed on him or her in consequence of an action taken by him in his capacity as such, as follows:</w:t>
      </w:r>
    </w:p>
    <w:p>
      <w:pPr>
        <w:spacing w:after="0" w:line="73" w:lineRule="exact"/>
        <w:rPr>
          <w:sz w:val="20"/>
          <w:szCs w:val="20"/>
          <w:color w:val="auto"/>
        </w:rPr>
      </w:pPr>
    </w:p>
    <w:p>
      <w:pPr>
        <w:ind w:left="720" w:right="560" w:hanging="352"/>
        <w:spacing w:after="0" w:line="312" w:lineRule="auto"/>
        <w:tabs>
          <w:tab w:leader="none" w:pos="7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financial obligation or liability imposed on or incurred in favor of another person and/or legal entity, including by any government office, or expended as a result of a court judgment, including in a settlement or an arbitrator’s decision approved by a court of law, in respect of any act or omission taken or made by him or her in his or her capacity as a director or an officer of the Company of any of its subsidiaries;</w:t>
      </w:r>
    </w:p>
    <w:p>
      <w:pPr>
        <w:spacing w:after="0" w:line="38" w:lineRule="exact"/>
        <w:rPr>
          <w:rFonts w:ascii="Arial" w:cs="Arial" w:eastAsia="Arial" w:hAnsi="Arial"/>
          <w:sz w:val="16"/>
          <w:szCs w:val="16"/>
          <w:color w:val="auto"/>
        </w:rPr>
      </w:pPr>
    </w:p>
    <w:p>
      <w:pPr>
        <w:ind w:left="720" w:right="560" w:hanging="352"/>
        <w:spacing w:after="0" w:line="255"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reasonable legal expenses, including attorney’s fees, expended by him or her as a result of an investigation or proceeding instituted against him or her by a competent authority, provided that such investigation or proceeding concluded without the filing of an indictment against him or her and without any financial liability imposed on him or her in lieu of criminal proceedings, or that is concluded with the imposition of a financial liability in lieu of criminal proceedings but relates to a criminal offense that does not require proof of criminal intent or in connection with a financial sanction imposed on him or her in his or her capacity as a director or an officer of the Company or of any of its subsidiaries;</w:t>
      </w:r>
    </w:p>
    <w:p>
      <w:pPr>
        <w:spacing w:after="0" w:line="98" w:lineRule="exact"/>
        <w:rPr>
          <w:rFonts w:ascii="Arial" w:cs="Arial" w:eastAsia="Arial" w:hAnsi="Arial"/>
          <w:sz w:val="18"/>
          <w:szCs w:val="18"/>
          <w:color w:val="auto"/>
        </w:rPr>
      </w:pPr>
    </w:p>
    <w:p>
      <w:pPr>
        <w:ind w:left="720" w:right="600" w:hanging="352"/>
        <w:spacing w:after="0" w:line="259"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reasonable legal expenses, including attorney’s fees, and all other costs, expenses and obligations incurred in connection with investigating, defending, being a witness in or participating in (including on appeal), or preparing to defend in or participate, in any action, suit, proceeding, alternative dispute resolution mechanism, hearing, inquiry or investigation brought against him or her by the Company or on its behalf or by another person or in any criminal prosecution in which</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20" w:right="160"/>
        <w:spacing w:after="0" w:line="342" w:lineRule="auto"/>
        <w:rPr>
          <w:sz w:val="20"/>
          <w:szCs w:val="20"/>
          <w:color w:val="auto"/>
        </w:rPr>
      </w:pPr>
      <w:r>
        <w:rPr>
          <w:rFonts w:ascii="Arial" w:cs="Arial" w:eastAsia="Arial" w:hAnsi="Arial"/>
          <w:sz w:val="16"/>
          <w:szCs w:val="16"/>
          <w:color w:val="auto"/>
        </w:rPr>
        <w:t>he or she was acquitted, or in a criminal prosecution of a crime which does not require proof of criminal intent, in which he or she was convicted, all in respect of actions taken by him or her in his or her capacity as a director or an officer of the Company or of any of its subsidiaries;</w:t>
      </w:r>
    </w:p>
    <w:p>
      <w:pPr>
        <w:spacing w:after="0" w:line="29" w:lineRule="exact"/>
        <w:rPr>
          <w:sz w:val="20"/>
          <w:szCs w:val="20"/>
          <w:color w:val="auto"/>
        </w:rPr>
      </w:pPr>
    </w:p>
    <w:p>
      <w:pPr>
        <w:ind w:left="720" w:hanging="352"/>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payment he or she was obligated to make to an injured party as set forth in Section 52(54)(a)(1)(a) of the Israeli Securities Law;</w:t>
      </w:r>
    </w:p>
    <w:p>
      <w:pPr>
        <w:spacing w:after="0" w:line="130" w:lineRule="exact"/>
        <w:rPr>
          <w:rFonts w:ascii="Arial" w:cs="Arial" w:eastAsia="Arial" w:hAnsi="Arial"/>
          <w:sz w:val="18"/>
          <w:szCs w:val="18"/>
          <w:color w:val="auto"/>
        </w:rPr>
      </w:pPr>
    </w:p>
    <w:p>
      <w:pPr>
        <w:ind w:left="720" w:right="740" w:hanging="352"/>
        <w:spacing w:after="0" w:line="277" w:lineRule="auto"/>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the director or officer in connection with a proceeding under Chapters H’3, H’4 or I’1 of the Israeli Securities Law; or</w:t>
      </w:r>
    </w:p>
    <w:p>
      <w:pPr>
        <w:spacing w:after="0" w:line="75" w:lineRule="exact"/>
        <w:rPr>
          <w:rFonts w:ascii="Arial" w:cs="Arial" w:eastAsia="Arial" w:hAnsi="Arial"/>
          <w:sz w:val="18"/>
          <w:szCs w:val="18"/>
          <w:color w:val="auto"/>
        </w:rPr>
      </w:pPr>
    </w:p>
    <w:p>
      <w:pPr>
        <w:ind w:left="720" w:right="900" w:hanging="352"/>
        <w:spacing w:after="0" w:line="277" w:lineRule="auto"/>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circumstances arising under the law in respect of which the Company may indemnify a director or an officer of the Company (including, without limitation, Section 50P(b)(2) of the Israeli Restrictive Trade Practices Law, 5758-1988).</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Exemption. </w:t>
      </w:r>
      <w:r>
        <w:rPr>
          <w:rFonts w:ascii="Arial" w:cs="Arial" w:eastAsia="Arial" w:hAnsi="Arial"/>
          <w:sz w:val="18"/>
          <w:szCs w:val="18"/>
          <w:color w:val="auto"/>
        </w:rPr>
        <w:t>We are entitled to exempt a director or officer in advance from any or all of his or her liability for damage caused by a breach of his or her duty</w:t>
      </w:r>
      <w:r>
        <w:rPr>
          <w:rFonts w:ascii="Arial" w:cs="Arial" w:eastAsia="Arial" w:hAnsi="Arial"/>
          <w:sz w:val="18"/>
          <w:szCs w:val="18"/>
          <w:i w:val="1"/>
          <w:iCs w:val="1"/>
          <w:color w:val="auto"/>
        </w:rPr>
        <w:t xml:space="preserve"> </w:t>
      </w:r>
      <w:r>
        <w:rPr>
          <w:rFonts w:ascii="Arial" w:cs="Arial" w:eastAsia="Arial" w:hAnsi="Arial"/>
          <w:sz w:val="18"/>
          <w:szCs w:val="18"/>
          <w:color w:val="auto"/>
        </w:rPr>
        <w:t>of care toward us, to the fullest extent permitted by law.</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The Companies Law provides that a company may not provide its directors or officers with insurance or indemnification or exempt its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officers from liability with respect to the following:</w:t>
      </w:r>
    </w:p>
    <w:p>
      <w:pPr>
        <w:spacing w:after="0" w:line="76" w:lineRule="exact"/>
        <w:rPr>
          <w:sz w:val="20"/>
          <w:szCs w:val="20"/>
          <w:color w:val="auto"/>
        </w:rPr>
      </w:pPr>
    </w:p>
    <w:p>
      <w:pPr>
        <w:ind w:left="720" w:right="580" w:hanging="352"/>
        <w:spacing w:after="0" w:line="259" w:lineRule="auto"/>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breach of the duty of loyalty to the Company or any of its subsidiaries, except to the extent permitted by the Companies Law, with respect to insurance coverage or indemnification for a breach of the duty of loyalty to the Company or any of its subsidiaries while acting in good faith and having reasonable cause to assume that such act would not prejudice the interest of the Company or any of its subsidiaries, as applicable;</w:t>
      </w:r>
    </w:p>
    <w:p>
      <w:pPr>
        <w:spacing w:after="0" w:line="78" w:lineRule="exact"/>
        <w:rPr>
          <w:rFonts w:ascii="Arial" w:cs="Arial" w:eastAsia="Arial" w:hAnsi="Arial"/>
          <w:sz w:val="18"/>
          <w:szCs w:val="18"/>
          <w:color w:val="auto"/>
        </w:rPr>
      </w:pPr>
    </w:p>
    <w:p>
      <w:pPr>
        <w:ind w:left="720" w:hanging="352"/>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willful or reckless breach of the duty of care, other than a breach committed solely by negligence;</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action taken or not taken with the intent of unlawfully realizing personal gain; or</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fine or penalty imposed upon the director or the officer for an offense.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past three years, we issued securities that were not registered under the Securities Act of 1933, as amended, or the Securities Act, as set forth below. We believe that each of such issuances was exempt from registration under the Securities Act in reliance on Section 4(a)(2) of the Securities Act, Rule 701 and/or Regulation S under the Securities Act.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transactions during the preceding three fiscal years involving sales of our securities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116" w:lineRule="exact"/>
        <w:rPr>
          <w:sz w:val="20"/>
          <w:szCs w:val="20"/>
          <w:color w:val="auto"/>
        </w:rPr>
      </w:pPr>
    </w:p>
    <w:p>
      <w:pPr>
        <w:ind w:left="720" w:right="480" w:hanging="352"/>
        <w:spacing w:after="0" w:line="255" w:lineRule="auto"/>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Pursuant to Convertible Financing Agreements entered into between us, the lenders thereto, or the lenders, and D.N.A Biomedical, between November 2012 and January 2013, the lenders loaned to us an aggregate amount of $1.15 million. Each of the investors has the right during the term to convert its respective loan amount (subject to adjustment) into our ordinary shares at a conversion price of $240.26 per ordinary share, and the outstanding loan amounts will be automatically converted into our ordinary shares immediately prior to the closing of this offering. The total number of our ordinary shares that can be acquired upon conversion of the current outstanding loan amounts is 4,786 ordinary shares;</w:t>
      </w:r>
    </w:p>
    <w:p>
      <w:pPr>
        <w:spacing w:after="0" w:line="85" w:lineRule="exact"/>
        <w:rPr>
          <w:rFonts w:ascii="Arial" w:cs="Arial" w:eastAsia="Arial" w:hAnsi="Arial"/>
          <w:sz w:val="18"/>
          <w:szCs w:val="18"/>
          <w:color w:val="auto"/>
        </w:rPr>
      </w:pPr>
    </w:p>
    <w:p>
      <w:pPr>
        <w:ind w:left="720" w:right="660" w:hanging="352"/>
        <w:spacing w:after="0" w:line="277" w:lineRule="auto"/>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Pursuant to the share purchase agreements entered into between us and the other parties identified therein in September and October 2013, we issued an aggregate of 2,318 of our ordinary shares for an aggregate purchase price of $635,000;</w:t>
      </w:r>
    </w:p>
    <w:p>
      <w:pPr>
        <w:spacing w:after="0" w:line="75" w:lineRule="exact"/>
        <w:rPr>
          <w:rFonts w:ascii="Arial" w:cs="Arial" w:eastAsia="Arial" w:hAnsi="Arial"/>
          <w:sz w:val="18"/>
          <w:szCs w:val="18"/>
          <w:color w:val="auto"/>
        </w:rPr>
      </w:pPr>
    </w:p>
    <w:p>
      <w:pPr>
        <w:ind w:left="720" w:right="540" w:hanging="352"/>
        <w:spacing w:after="0" w:line="257" w:lineRule="auto"/>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Pursuant to the Series A Preferred Share Purchase Agreement with Centillion on January 29, 2014,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 to purchase up to 1,043 of our (i) Series A preferred shares prior to</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13" w:name="page214"/>
    <w:bookmarkEnd w:id="213"/>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spacing w:after="0" w:line="277" w:lineRule="auto"/>
        <w:rPr>
          <w:sz w:val="20"/>
          <w:szCs w:val="20"/>
          <w:color w:val="auto"/>
        </w:rPr>
      </w:pPr>
      <w:r>
        <w:rPr>
          <w:rFonts w:ascii="Arial" w:cs="Arial" w:eastAsia="Arial" w:hAnsi="Arial"/>
          <w:sz w:val="18"/>
          <w:szCs w:val="18"/>
          <w:color w:val="auto"/>
        </w:rPr>
        <w:t>the consummation of this offering and (ii) ordinary shares upon the closing of this offering and otherwise after the conversion of all of our Series A preferred shares into our ordinary shares (the shares described in (i) and (ii), the “applicable shares”).</w:t>
      </w:r>
    </w:p>
    <w:p>
      <w:pPr>
        <w:spacing w:after="0" w:line="89" w:lineRule="exact"/>
        <w:rPr>
          <w:sz w:val="20"/>
          <w:szCs w:val="20"/>
          <w:color w:val="auto"/>
        </w:rPr>
      </w:pPr>
    </w:p>
    <w:p>
      <w:pPr>
        <w:ind w:left="720" w:right="600" w:hanging="352"/>
        <w:spacing w:after="0" w:line="276" w:lineRule="auto"/>
        <w:tabs>
          <w:tab w:leader="none" w:pos="7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Pursuant to the Series A Preferred Share Purchase Agreements we entered into during the course of 2014 and January 2015 with the other parties identified therein, such parties purchased from us an aggregate of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parties warrant to purchase up to 234 of the applicable shares.</w:t>
      </w:r>
    </w:p>
    <w:p>
      <w:pPr>
        <w:spacing w:after="0" w:line="91" w:lineRule="exact"/>
        <w:rPr>
          <w:rFonts w:ascii="Arial" w:cs="Arial" w:eastAsia="Arial" w:hAnsi="Arial"/>
          <w:sz w:val="17"/>
          <w:szCs w:val="17"/>
          <w:color w:val="auto"/>
        </w:rPr>
      </w:pPr>
    </w:p>
    <w:p>
      <w:pPr>
        <w:ind w:left="720" w:right="480" w:hanging="352"/>
        <w:spacing w:after="0" w:line="289" w:lineRule="auto"/>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Pursuant to the second Amendment to the Series A Preferred Share Purchase Agreement with Centillion that we entered into on January 21, 2015,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 to purchase up to 1,043 of our applicable shares. In addition, we issued to Centillion an additional warrant that is exercisable upon (and for a period of two years following) the first to occur of a significant financing round, an M&amp;A event (as defined in the warrant), or our initial public offering, or a triggering event, to purchase up to $2.0 million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72" w:lineRule="exact"/>
        <w:rPr>
          <w:rFonts w:ascii="Arial" w:cs="Arial" w:eastAsia="Arial" w:hAnsi="Arial"/>
          <w:sz w:val="16"/>
          <w:szCs w:val="16"/>
          <w:color w:val="auto"/>
        </w:rPr>
      </w:pPr>
    </w:p>
    <w:p>
      <w:pPr>
        <w:ind w:left="720" w:right="580" w:hanging="352"/>
        <w:spacing w:after="0" w:line="288" w:lineRule="auto"/>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Pursuant to the first Amendment to the Series A Preferred Share Purchase Agreements with other purchasers of our Series A Preferred Shares that we entered into in March 2015, such other purchasers purchased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other purchasers of our Series A Preferred Shares warrants to purchase up to 234 of our applicable shares. In addition, we issued to such other purchasers of our Series A Preferred Shares additional warrants that are exercisable (and for a period of two years thereafter) upon the first to occur of a significant financing round, an M&amp;A event (as defined in the warrant), or our initial public offering, or a triggering event to purchase up to $450,000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88" w:lineRule="exact"/>
        <w:rPr>
          <w:rFonts w:ascii="Arial" w:cs="Arial" w:eastAsia="Arial" w:hAnsi="Arial"/>
          <w:sz w:val="16"/>
          <w:szCs w:val="16"/>
          <w:color w:val="auto"/>
        </w:rPr>
      </w:pPr>
    </w:p>
    <w:p>
      <w:pPr>
        <w:ind w:left="720" w:right="600" w:hanging="352"/>
        <w:spacing w:after="0" w:line="269" w:lineRule="auto"/>
        <w:tabs>
          <w:tab w:leader="none" w:pos="7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the a 2015 Triggering Event into the equity securities and/or securities convertible into equity securities of the Company that were issued in such a transaction, at a 25% discount. In addition, the Company issued to each lender under the 2015 Convertible Loan the 2015 Warrants to purchase an additional 40% of the amount of our securities that would have been issued to such lender as a result of the automatic conversion following a 2015 Triggering Event at an exercise price of 125% of the applicable price per share. The 2015 Warrants were exercisable for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14" w:name="page215"/>
    <w:bookmarkEnd w:id="214"/>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352"/>
        <w:spacing w:after="0"/>
        <w:tabs>
          <w:tab w:leader="none" w:pos="7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On June 14, 2016, the Company entered into the 2016 Convertible Loan with certain lenders for an aggregate amount of approximately</w:t>
      </w:r>
    </w:p>
    <w:p>
      <w:pPr>
        <w:spacing w:after="0" w:line="46" w:lineRule="exact"/>
        <w:rPr>
          <w:rFonts w:ascii="Arial" w:cs="Arial" w:eastAsia="Arial" w:hAnsi="Arial"/>
          <w:sz w:val="16"/>
          <w:szCs w:val="16"/>
          <w:color w:val="auto"/>
        </w:rPr>
      </w:pPr>
    </w:p>
    <w:p>
      <w:pPr>
        <w:ind w:left="720" w:right="20"/>
        <w:spacing w:after="0" w:line="268" w:lineRule="auto"/>
        <w:rPr>
          <w:rFonts w:ascii="Arial" w:cs="Arial" w:eastAsia="Arial" w:hAnsi="Arial"/>
          <w:sz w:val="16"/>
          <w:szCs w:val="16"/>
          <w:color w:val="auto"/>
        </w:rPr>
      </w:pPr>
      <w:r>
        <w:rPr>
          <w:rFonts w:ascii="Arial" w:cs="Arial" w:eastAsia="Arial" w:hAnsi="Arial"/>
          <w:sz w:val="17"/>
          <w:szCs w:val="17"/>
          <w:color w:val="auto"/>
        </w:rPr>
        <w:t>$7.44 million. In addition, an amount of $1.057 million of the 2015 Convertible Loan rolled over to the 2016 Convertible Loan. The 2016 Convertible Loan was given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The 2016 Convertible Loan was to be automatically converted upon the occurrence of a 2016 Triggering Event. Following the completion of the Series B Private Placement, which constituted a 2016 Triggering Event, the loan amount, together with all accrued interest was converted into Series B-1 preferred shares, under the terms and conditions of the 2016 Convertible Loan. In addition, the Series B preferred shares purchase agreement has set the price in which, and the amounts for which, the holders of the 2016 Warrants are entitled to exercise their 2016 Warrants.</w:t>
      </w:r>
    </w:p>
    <w:p>
      <w:pPr>
        <w:spacing w:after="0" w:line="143" w:lineRule="exact"/>
        <w:rPr>
          <w:rFonts w:ascii="Arial" w:cs="Arial" w:eastAsia="Arial" w:hAnsi="Arial"/>
          <w:sz w:val="16"/>
          <w:szCs w:val="16"/>
          <w:color w:val="auto"/>
        </w:rPr>
      </w:pPr>
    </w:p>
    <w:p>
      <w:pPr>
        <w:ind w:left="720" w:right="140" w:hanging="352"/>
        <w:spacing w:after="0" w:line="277" w:lineRule="auto"/>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Through May and during November 2016, a certain consultant received options to purchase 24 ordinary shares, exercisable within 60 days of March 31, 2018 at an exercise price of NIS 0.01 (par value) and expiring in 2022.</w:t>
      </w:r>
    </w:p>
    <w:p>
      <w:pPr>
        <w:spacing w:after="0" w:line="129" w:lineRule="exact"/>
        <w:rPr>
          <w:rFonts w:ascii="Arial" w:cs="Arial" w:eastAsia="Arial" w:hAnsi="Arial"/>
          <w:sz w:val="18"/>
          <w:szCs w:val="18"/>
          <w:color w:val="auto"/>
        </w:rPr>
      </w:pPr>
    </w:p>
    <w:p>
      <w:pPr>
        <w:ind w:left="720" w:right="80" w:hanging="352"/>
        <w:spacing w:after="0" w:line="297" w:lineRule="auto"/>
        <w:tabs>
          <w:tab w:leader="none" w:pos="7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Pursuant to the Series B Preferred Share Purchase Agreements the company entered into from October to December 2017 with the other parties identified therein, such parties purchased from us an aggregate of 14,283 Series B preferred shares (which can be converted into 14,283 of our ordinary shares at the current conversion rate of one ordinary share for one Series B preferred share and will be automatically converted into our ordinary shares at the then-current conversion rate upon the closing of this offering) for an aggregate purchase price of $13 million, and we issued to GP Nurmenkari Inc. representatives warrants to purchase up to 526 of the applicable shares.</w:t>
      </w:r>
    </w:p>
    <w:p>
      <w:pPr>
        <w:spacing w:after="0" w:line="131" w:lineRule="exact"/>
        <w:rPr>
          <w:rFonts w:ascii="Arial" w:cs="Arial" w:eastAsia="Arial" w:hAnsi="Arial"/>
          <w:sz w:val="16"/>
          <w:szCs w:val="16"/>
          <w:color w:val="auto"/>
        </w:rPr>
      </w:pPr>
    </w:p>
    <w:p>
      <w:pPr>
        <w:ind w:left="720" w:right="320" w:hanging="352"/>
        <w:spacing w:after="0" w:line="277" w:lineRule="auto"/>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March 2017, a certain consultant received options to purchase 12 ordinary shares, exercisable within 60 days of March 31, 2018 at an exercise price of NIS 0.01 (par value) and expiring in March 2023.</w:t>
      </w:r>
    </w:p>
    <w:p>
      <w:pPr>
        <w:spacing w:after="0" w:line="129" w:lineRule="exact"/>
        <w:rPr>
          <w:rFonts w:ascii="Arial" w:cs="Arial" w:eastAsia="Arial" w:hAnsi="Arial"/>
          <w:sz w:val="18"/>
          <w:szCs w:val="18"/>
          <w:color w:val="auto"/>
        </w:rPr>
      </w:pPr>
    </w:p>
    <w:p>
      <w:pPr>
        <w:jc w:val="both"/>
        <w:ind w:left="720" w:hanging="352"/>
        <w:spacing w:after="0" w:line="286" w:lineRule="auto"/>
        <w:tabs>
          <w:tab w:leader="none" w:pos="7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Pursuant to the applicable Service Agreements entered into in April 2017, our directors Luke Beshar and Roger Garceau received options to acquire 6,970 and 1,608 ordinary shares, respectively, of which 3,485 and 804 ordinary shares, respectively, were exercisable within 60 days of March 31, 2018, with an exercise price of $820 per share and expiring on December 1, 2026.</w:t>
      </w:r>
    </w:p>
    <w:p>
      <w:pPr>
        <w:spacing w:after="0" w:line="125" w:lineRule="exact"/>
        <w:rPr>
          <w:rFonts w:ascii="Arial" w:cs="Arial" w:eastAsia="Arial" w:hAnsi="Arial"/>
          <w:sz w:val="17"/>
          <w:szCs w:val="17"/>
          <w:color w:val="auto"/>
        </w:rPr>
      </w:pPr>
    </w:p>
    <w:p>
      <w:pPr>
        <w:ind w:left="720" w:right="440" w:hanging="352"/>
        <w:spacing w:after="0" w:line="308" w:lineRule="auto"/>
        <w:tabs>
          <w:tab w:leader="none" w:pos="7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 November 2017, certain directors and officers received options to acquire 4,650 ordinary shares, of which 670 ordinary shares were exercisable within 60 days of March 31, 2018 at an exercise price of $820 per share and expiring on November 15, 2023.</w:t>
      </w:r>
    </w:p>
    <w:p>
      <w:pPr>
        <w:spacing w:after="0" w:line="106" w:lineRule="exact"/>
        <w:rPr>
          <w:rFonts w:ascii="Arial" w:cs="Arial" w:eastAsia="Arial" w:hAnsi="Arial"/>
          <w:sz w:val="17"/>
          <w:szCs w:val="17"/>
          <w:color w:val="auto"/>
        </w:rPr>
      </w:pPr>
    </w:p>
    <w:p>
      <w:pPr>
        <w:ind w:left="720" w:hanging="352"/>
        <w:spacing w:after="0" w:line="277" w:lineRule="auto"/>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January 2018, an officer received options to acquire 850 ordinary shares, of which 210 ordinary shares were exercisable within 60 days of March 31, 2018 at an exercise price of $820 per share and expiring on January 15, 2024.</w:t>
      </w:r>
    </w:p>
    <w:p>
      <w:pPr>
        <w:spacing w:after="0" w:line="143" w:lineRule="exact"/>
        <w:rPr>
          <w:rFonts w:ascii="Arial" w:cs="Arial" w:eastAsia="Arial" w:hAnsi="Arial"/>
          <w:sz w:val="18"/>
          <w:szCs w:val="18"/>
          <w:color w:val="auto"/>
        </w:rPr>
      </w:pPr>
    </w:p>
    <w:p>
      <w:pPr>
        <w:ind w:left="720" w:right="240" w:hanging="352"/>
        <w:spacing w:after="0" w:line="277" w:lineRule="auto"/>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January 2018, a certain consultant received options to acquire 250 ordinary shares, exercisable within 60 days of March 31, 2018 at an exercise price of $273.88 per share and expiring on January 15,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240" w:top="132" w:right="799" w:bottom="1440" w:gutter="0" w:footer="0" w:header="0"/>
        </w:sectPr>
      </w:pPr>
    </w:p>
    <w:bookmarkStart w:id="215" w:name="page216"/>
    <w:bookmarkEnd w:id="215"/>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gridSpan w:val="5"/>
          </w:tcPr>
          <w:p>
            <w:pPr>
              <w:ind w:left="18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gridSpan w:val="22"/>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0">
              <w:r>
                <w:rPr>
                  <w:rFonts w:ascii="Arial" w:cs="Arial" w:eastAsia="Arial" w:hAnsi="Arial"/>
                  <w:sz w:val="18"/>
                  <w:szCs w:val="18"/>
                  <w:color w:val="0000EE"/>
                </w:rPr>
                <w:t>1.1**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Borders>
              <w:bottom w:val="single" w:sz="8" w:color="0000EE"/>
            </w:tcBorders>
            <w:gridSpan w:val="3"/>
          </w:tcPr>
          <w:p>
            <w:pPr>
              <w:spacing w:after="0"/>
              <w:rPr>
                <w:rFonts w:ascii="Arial" w:cs="Arial" w:eastAsia="Arial" w:hAnsi="Arial"/>
                <w:sz w:val="18"/>
                <w:szCs w:val="18"/>
                <w:color w:val="0000EE"/>
                <w:w w:val="93"/>
              </w:rPr>
            </w:pPr>
            <w:hyperlink r:id="rId420">
              <w:r>
                <w:rPr>
                  <w:rFonts w:ascii="Arial" w:cs="Arial" w:eastAsia="Arial" w:hAnsi="Arial"/>
                  <w:sz w:val="18"/>
                  <w:szCs w:val="18"/>
                  <w:color w:val="0000EE"/>
                  <w:w w:val="93"/>
                </w:rPr>
                <w:t>Form of Underwriting Agreement.</w:t>
              </w:r>
            </w:hyperlink>
          </w:p>
        </w:tc>
        <w:tc>
          <w:tcPr>
            <w:tcW w:w="7640" w:type="dxa"/>
            <w:vAlign w:val="bottom"/>
            <w:gridSpan w:val="27"/>
          </w:tcPr>
          <w:p>
            <w:pPr>
              <w:spacing w:after="0"/>
              <w:rPr>
                <w:sz w:val="18"/>
                <w:szCs w:val="18"/>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1">
              <w:r>
                <w:rPr>
                  <w:rFonts w:ascii="Arial" w:cs="Arial" w:eastAsia="Arial" w:hAnsi="Arial"/>
                  <w:sz w:val="18"/>
                  <w:szCs w:val="18"/>
                  <w:color w:val="0000EE"/>
                </w:rPr>
                <w:t>3.1**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Borders>
              <w:bottom w:val="single" w:sz="8" w:color="0000EE"/>
            </w:tcBorders>
            <w:gridSpan w:val="14"/>
          </w:tcPr>
          <w:p>
            <w:pPr>
              <w:spacing w:after="0"/>
              <w:rPr>
                <w:rFonts w:ascii="Arial" w:cs="Arial" w:eastAsia="Arial" w:hAnsi="Arial"/>
                <w:sz w:val="18"/>
                <w:szCs w:val="18"/>
                <w:color w:val="0000EE"/>
                <w:w w:val="92"/>
              </w:rPr>
            </w:pPr>
            <w:hyperlink r:id="rId421">
              <w:r>
                <w:rPr>
                  <w:rFonts w:ascii="Arial" w:cs="Arial" w:eastAsia="Arial" w:hAnsi="Arial"/>
                  <w:sz w:val="18"/>
                  <w:szCs w:val="18"/>
                  <w:color w:val="0000EE"/>
                  <w:w w:val="92"/>
                </w:rPr>
                <w:t>Fifth Amended and Restated Articles of Association of the Registrant (currently in effect).</w:t>
              </w:r>
            </w:hyperlink>
          </w:p>
        </w:tc>
        <w:tc>
          <w:tcPr>
            <w:tcW w:w="3620" w:type="dxa"/>
            <w:vAlign w:val="bottom"/>
            <w:gridSpan w:val="16"/>
          </w:tcPr>
          <w:p>
            <w:pPr>
              <w:spacing w:after="0"/>
              <w:rPr>
                <w:sz w:val="18"/>
                <w:szCs w:val="18"/>
                <w:color w:val="auto"/>
              </w:rPr>
            </w:pPr>
          </w:p>
        </w:tc>
      </w:tr>
      <w:tr>
        <w:trPr>
          <w:trHeight w:val="196"/>
        </w:trPr>
        <w:tc>
          <w:tcPr>
            <w:tcW w:w="500" w:type="dxa"/>
            <w:vAlign w:val="bottom"/>
            <w:tcBorders>
              <w:bottom w:val="single" w:sz="8" w:color="0000EE"/>
            </w:tcBorders>
            <w:gridSpan w:val="2"/>
          </w:tcPr>
          <w:p>
            <w:pPr>
              <w:jc w:val="right"/>
              <w:spacing w:after="0" w:line="196" w:lineRule="exact"/>
              <w:rPr>
                <w:rFonts w:ascii="Arial" w:cs="Arial" w:eastAsia="Arial" w:hAnsi="Arial"/>
                <w:sz w:val="18"/>
                <w:szCs w:val="18"/>
                <w:color w:val="0000EE"/>
              </w:rPr>
            </w:pPr>
            <w:hyperlink r:id="rId422">
              <w:r>
                <w:rPr>
                  <w:rFonts w:ascii="Arial" w:cs="Arial" w:eastAsia="Arial" w:hAnsi="Arial"/>
                  <w:sz w:val="18"/>
                  <w:szCs w:val="18"/>
                  <w:color w:val="0000EE"/>
                </w:rPr>
                <w:t>3.2**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22">
              <w:r>
                <w:rPr>
                  <w:rFonts w:ascii="Arial" w:cs="Arial" w:eastAsia="Arial" w:hAnsi="Arial"/>
                  <w:sz w:val="18"/>
                  <w:szCs w:val="18"/>
                  <w:color w:val="0000EE"/>
                  <w:w w:val="91"/>
                </w:rPr>
                <w:t>Form of Sixth Amended and Restated Articles of Association of the Registrant (to be effective upon the closing of this offering).</w:t>
              </w:r>
            </w:hyperlink>
          </w:p>
        </w:tc>
        <w:tc>
          <w:tcPr>
            <w:tcW w:w="860" w:type="dxa"/>
            <w:vAlign w:val="bottom"/>
            <w:gridSpan w:val="8"/>
          </w:tcPr>
          <w:p>
            <w:pPr>
              <w:spacing w:after="0"/>
              <w:rPr>
                <w:sz w:val="17"/>
                <w:szCs w:val="17"/>
                <w:color w:val="auto"/>
              </w:rPr>
            </w:pPr>
          </w:p>
        </w:tc>
      </w:tr>
      <w:tr>
        <w:trPr>
          <w:trHeight w:val="237"/>
        </w:trPr>
        <w:tc>
          <w:tcPr>
            <w:tcW w:w="500" w:type="dxa"/>
            <w:vAlign w:val="bottom"/>
            <w:gridSpan w:val="2"/>
          </w:tcPr>
          <w:p>
            <w:pPr>
              <w:jc w:val="right"/>
              <w:spacing w:after="0"/>
              <w:rPr>
                <w:rFonts w:ascii="Arial" w:cs="Arial" w:eastAsia="Arial" w:hAnsi="Arial"/>
                <w:sz w:val="18"/>
                <w:szCs w:val="18"/>
                <w:color w:val="0000EE"/>
              </w:rPr>
            </w:pPr>
            <w:hyperlink r:id="rId423">
              <w:r>
                <w:rPr>
                  <w:rFonts w:ascii="Arial" w:cs="Arial" w:eastAsia="Arial" w:hAnsi="Arial"/>
                  <w:sz w:val="18"/>
                  <w:szCs w:val="18"/>
                  <w:color w:val="0000EE"/>
                </w:rPr>
                <w:t>4.1**</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30"/>
          </w:tcPr>
          <w:p>
            <w:pPr>
              <w:spacing w:after="0"/>
              <w:rPr>
                <w:rFonts w:ascii="Arial" w:cs="Arial" w:eastAsia="Arial" w:hAnsi="Arial"/>
                <w:sz w:val="18"/>
                <w:szCs w:val="18"/>
                <w:color w:val="0000EE"/>
              </w:rPr>
            </w:pPr>
            <w:hyperlink r:id="rId423">
              <w:r>
                <w:rPr>
                  <w:rFonts w:ascii="Arial" w:cs="Arial" w:eastAsia="Arial" w:hAnsi="Arial"/>
                  <w:sz w:val="18"/>
                  <w:szCs w:val="18"/>
                  <w:color w:val="0000EE"/>
                </w:rPr>
                <w:t>Specimen Form of Ordinary Share Certificate.</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gridSpan w:val="2"/>
          </w:tcPr>
          <w:p>
            <w:pPr>
              <w:jc w:val="right"/>
              <w:spacing w:after="0"/>
              <w:rPr>
                <w:rFonts w:ascii="Arial" w:cs="Arial" w:eastAsia="Arial" w:hAnsi="Arial"/>
                <w:sz w:val="18"/>
                <w:szCs w:val="18"/>
                <w:color w:val="0000EE"/>
              </w:rPr>
            </w:pPr>
            <w:hyperlink r:id="rId424">
              <w:r>
                <w:rPr>
                  <w:rFonts w:ascii="Arial" w:cs="Arial" w:eastAsia="Arial" w:hAnsi="Arial"/>
                  <w:sz w:val="18"/>
                  <w:szCs w:val="18"/>
                  <w:color w:val="0000EE"/>
                </w:rPr>
                <w:t>4.2**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40" w:type="dxa"/>
            <w:vAlign w:val="bottom"/>
            <w:gridSpan w:val="30"/>
          </w:tcPr>
          <w:p>
            <w:pPr>
              <w:spacing w:after="0"/>
              <w:rPr>
                <w:rFonts w:ascii="Arial" w:cs="Arial" w:eastAsia="Arial" w:hAnsi="Arial"/>
                <w:sz w:val="18"/>
                <w:szCs w:val="18"/>
                <w:color w:val="0000EE"/>
              </w:rPr>
            </w:pPr>
            <w:hyperlink r:id="rId424">
              <w:r>
                <w:rPr>
                  <w:rFonts w:ascii="Arial" w:cs="Arial" w:eastAsia="Arial" w:hAnsi="Arial"/>
                  <w:sz w:val="18"/>
                  <w:szCs w:val="18"/>
                  <w:color w:val="0000EE"/>
                </w:rPr>
                <w:t>Form of Warrant issued by the Registrant pursuant to this offering.</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gridSpan w:val="2"/>
          </w:tcPr>
          <w:p>
            <w:pPr>
              <w:jc w:val="right"/>
              <w:spacing w:after="0"/>
              <w:rPr>
                <w:rFonts w:ascii="Arial" w:cs="Arial" w:eastAsia="Arial" w:hAnsi="Arial"/>
                <w:sz w:val="18"/>
                <w:szCs w:val="18"/>
                <w:color w:val="0000EE"/>
              </w:rPr>
            </w:pPr>
            <w:hyperlink r:id="rId425">
              <w:r>
                <w:rPr>
                  <w:rFonts w:ascii="Arial" w:cs="Arial" w:eastAsia="Arial" w:hAnsi="Arial"/>
                  <w:sz w:val="18"/>
                  <w:szCs w:val="18"/>
                  <w:color w:val="0000EE"/>
                </w:rPr>
                <w:t>4.3**</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40" w:type="dxa"/>
            <w:vAlign w:val="bottom"/>
            <w:gridSpan w:val="30"/>
          </w:tcPr>
          <w:p>
            <w:pPr>
              <w:spacing w:after="0"/>
              <w:rPr>
                <w:rFonts w:ascii="Arial" w:cs="Arial" w:eastAsia="Arial" w:hAnsi="Arial"/>
                <w:sz w:val="18"/>
                <w:szCs w:val="18"/>
                <w:color w:val="0000EE"/>
              </w:rPr>
            </w:pPr>
            <w:hyperlink r:id="rId425">
              <w:r>
                <w:rPr>
                  <w:rFonts w:ascii="Arial" w:cs="Arial" w:eastAsia="Arial" w:hAnsi="Arial"/>
                  <w:sz w:val="18"/>
                  <w:szCs w:val="18"/>
                  <w:color w:val="0000EE"/>
                </w:rPr>
                <w:t>Form of Underwriter Warrant issued by the Registrant to Maxim Group LLC.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2"/>
          </w:tcPr>
          <w:p>
            <w:pPr>
              <w:jc w:val="right"/>
              <w:spacing w:after="0" w:line="196" w:lineRule="exact"/>
              <w:rPr>
                <w:rFonts w:ascii="Arial" w:cs="Arial" w:eastAsia="Arial" w:hAnsi="Arial"/>
                <w:sz w:val="18"/>
                <w:szCs w:val="18"/>
                <w:color w:val="0000EE"/>
              </w:rPr>
            </w:pPr>
            <w:hyperlink r:id="rId426">
              <w:r>
                <w:rPr>
                  <w:rFonts w:ascii="Arial" w:cs="Arial" w:eastAsia="Arial" w:hAnsi="Arial"/>
                  <w:sz w:val="18"/>
                  <w:szCs w:val="18"/>
                  <w:color w:val="0000EE"/>
                </w:rPr>
                <w:t>4.4**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30"/>
          </w:tcPr>
          <w:p>
            <w:pPr>
              <w:spacing w:after="0" w:line="196" w:lineRule="exact"/>
              <w:rPr>
                <w:rFonts w:ascii="Arial" w:cs="Arial" w:eastAsia="Arial" w:hAnsi="Arial"/>
                <w:sz w:val="18"/>
                <w:szCs w:val="18"/>
                <w:color w:val="0000EE"/>
              </w:rPr>
            </w:pPr>
            <w:hyperlink r:id="rId426">
              <w:r>
                <w:rPr>
                  <w:rFonts w:ascii="Arial" w:cs="Arial" w:eastAsia="Arial" w:hAnsi="Arial"/>
                  <w:sz w:val="18"/>
                  <w:szCs w:val="18"/>
                  <w:color w:val="0000EE"/>
                </w:rPr>
                <w:t>Form of Warrant issued by the Registrant to Centillion Fund on each of January 29, 2014 and January 21, 2015.</w:t>
              </w:r>
            </w:hyperlink>
          </w:p>
        </w:tc>
      </w:tr>
      <w:tr>
        <w:trPr>
          <w:trHeight w:val="237"/>
        </w:trPr>
        <w:tc>
          <w:tcPr>
            <w:tcW w:w="5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rPr>
            </w:pPr>
            <w:hyperlink r:id="rId427">
              <w:r>
                <w:rPr>
                  <w:rFonts w:ascii="Arial" w:cs="Arial" w:eastAsia="Arial" w:hAnsi="Arial"/>
                  <w:sz w:val="18"/>
                  <w:szCs w:val="18"/>
                  <w:color w:val="0000EE"/>
                </w:rPr>
                <w:t>4.5**</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r:id="rId427">
              <w:r>
                <w:rPr>
                  <w:rFonts w:ascii="Arial" w:cs="Arial" w:eastAsia="Arial" w:hAnsi="Arial"/>
                  <w:sz w:val="18"/>
                  <w:szCs w:val="18"/>
                  <w:color w:val="0000EE"/>
                  <w:w w:val="90"/>
                </w:rPr>
                <w:t>Form of additional Warrant issued by the Registrant to Centillion Fund on January 21, 2015.</w:t>
              </w:r>
            </w:hyperlink>
          </w:p>
        </w:tc>
        <w:tc>
          <w:tcPr>
            <w:tcW w:w="1380" w:type="dxa"/>
            <w:vAlign w:val="bottom"/>
            <w:tcBorders>
              <w:top w:val="single" w:sz="8" w:color="0000EE"/>
            </w:tcBorders>
            <w:gridSpan w:val="3"/>
          </w:tcPr>
          <w:p>
            <w:pPr>
              <w:spacing w:after="0"/>
              <w:rPr>
                <w:sz w:val="20"/>
                <w:szCs w:val="20"/>
                <w:color w:val="auto"/>
              </w:rPr>
            </w:pPr>
          </w:p>
        </w:tc>
        <w:tc>
          <w:tcPr>
            <w:tcW w:w="2100" w:type="dxa"/>
            <w:vAlign w:val="bottom"/>
            <w:gridSpan w:val="12"/>
          </w:tcPr>
          <w:p>
            <w:pPr>
              <w:spacing w:after="0"/>
              <w:rPr>
                <w:sz w:val="20"/>
                <w:szCs w:val="20"/>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6">
              <w:r>
                <w:rPr>
                  <w:rFonts w:ascii="Arial" w:cs="Arial" w:eastAsia="Arial" w:hAnsi="Arial"/>
                  <w:sz w:val="18"/>
                  <w:szCs w:val="18"/>
                  <w:color w:val="0000EE"/>
                </w:rPr>
                <w:t>4.6**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20" w:type="dxa"/>
            <w:vAlign w:val="bottom"/>
            <w:tcBorders>
              <w:bottom w:val="single" w:sz="8" w:color="0000EE"/>
            </w:tcBorders>
            <w:gridSpan w:val="10"/>
          </w:tcPr>
          <w:p>
            <w:pPr>
              <w:spacing w:after="0"/>
              <w:rPr>
                <w:rFonts w:ascii="Arial" w:cs="Arial" w:eastAsia="Arial" w:hAnsi="Arial"/>
                <w:sz w:val="18"/>
                <w:szCs w:val="18"/>
                <w:color w:val="0000EE"/>
                <w:w w:val="89"/>
              </w:rPr>
            </w:pPr>
            <w:hyperlink r:id="rId426">
              <w:r>
                <w:rPr>
                  <w:rFonts w:ascii="Arial" w:cs="Arial" w:eastAsia="Arial" w:hAnsi="Arial"/>
                  <w:sz w:val="18"/>
                  <w:szCs w:val="18"/>
                  <w:color w:val="0000EE"/>
                  <w:w w:val="89"/>
                </w:rPr>
                <w:t>Form of Warrant issued by the Registrant to the lenders on June 24, 2016.</w:t>
              </w:r>
            </w:hyperlink>
          </w:p>
        </w:tc>
        <w:tc>
          <w:tcPr>
            <w:tcW w:w="4820" w:type="dxa"/>
            <w:vAlign w:val="bottom"/>
            <w:gridSpan w:val="20"/>
          </w:tcPr>
          <w:p>
            <w:pPr>
              <w:spacing w:after="0"/>
              <w:rPr>
                <w:sz w:val="18"/>
                <w:szCs w:val="18"/>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6">
              <w:r>
                <w:rPr>
                  <w:rFonts w:ascii="Arial" w:cs="Arial" w:eastAsia="Arial" w:hAnsi="Arial"/>
                  <w:sz w:val="18"/>
                  <w:szCs w:val="18"/>
                  <w:color w:val="0000EE"/>
                </w:rPr>
                <w:t>4.7**</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Borders>
              <w:bottom w:val="single" w:sz="8" w:color="0000EE"/>
            </w:tcBorders>
            <w:gridSpan w:val="8"/>
          </w:tcPr>
          <w:p>
            <w:pPr>
              <w:spacing w:after="0"/>
              <w:rPr>
                <w:rFonts w:ascii="Arial" w:cs="Arial" w:eastAsia="Arial" w:hAnsi="Arial"/>
                <w:sz w:val="18"/>
                <w:szCs w:val="18"/>
                <w:color w:val="0000EE"/>
                <w:w w:val="90"/>
              </w:rPr>
            </w:pPr>
            <w:hyperlink r:id="rId426">
              <w:r>
                <w:rPr>
                  <w:rFonts w:ascii="Arial" w:cs="Arial" w:eastAsia="Arial" w:hAnsi="Arial"/>
                  <w:sz w:val="18"/>
                  <w:szCs w:val="18"/>
                  <w:color w:val="0000EE"/>
                  <w:w w:val="90"/>
                </w:rPr>
                <w:t>Form of Warrant issued by the Registrant to GP Nurmenkari Inc.</w:t>
              </w:r>
            </w:hyperlink>
          </w:p>
        </w:tc>
        <w:tc>
          <w:tcPr>
            <w:tcW w:w="5460" w:type="dxa"/>
            <w:vAlign w:val="bottom"/>
            <w:gridSpan w:val="22"/>
          </w:tcPr>
          <w:p>
            <w:pPr>
              <w:spacing w:after="0"/>
              <w:rPr>
                <w:sz w:val="18"/>
                <w:szCs w:val="18"/>
                <w:color w:val="auto"/>
              </w:rPr>
            </w:pPr>
          </w:p>
        </w:tc>
      </w:tr>
      <w:tr>
        <w:trPr>
          <w:trHeight w:val="196"/>
        </w:trPr>
        <w:tc>
          <w:tcPr>
            <w:tcW w:w="500" w:type="dxa"/>
            <w:vAlign w:val="bottom"/>
            <w:tcBorders>
              <w:bottom w:val="single" w:sz="8" w:color="0000EE"/>
            </w:tcBorders>
            <w:gridSpan w:val="2"/>
          </w:tcPr>
          <w:p>
            <w:pPr>
              <w:jc w:val="right"/>
              <w:spacing w:after="0" w:line="196" w:lineRule="exact"/>
              <w:rPr>
                <w:rFonts w:ascii="Arial" w:cs="Arial" w:eastAsia="Arial" w:hAnsi="Arial"/>
                <w:sz w:val="18"/>
                <w:szCs w:val="18"/>
                <w:color w:val="0000EE"/>
              </w:rPr>
            </w:pPr>
            <w:hyperlink r:id="rId428">
              <w:r>
                <w:rPr>
                  <w:rFonts w:ascii="Arial" w:cs="Arial" w:eastAsia="Arial" w:hAnsi="Arial"/>
                  <w:sz w:val="18"/>
                  <w:szCs w:val="18"/>
                  <w:color w:val="0000EE"/>
                </w:rPr>
                <w:t>5.1**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428">
              <w:r>
                <w:rPr>
                  <w:rFonts w:ascii="Arial" w:cs="Arial" w:eastAsia="Arial" w:hAnsi="Arial"/>
                  <w:sz w:val="18"/>
                  <w:szCs w:val="18"/>
                  <w:color w:val="0000EE"/>
                  <w:w w:val="91"/>
                </w:rPr>
                <w:t>Opinion of Herzog Fox &amp; Neeman, Israeli counsel to the Registrant, as to the validity of the ordinary shares and warrants.</w:t>
              </w:r>
            </w:hyperlink>
          </w:p>
        </w:tc>
        <w:tc>
          <w:tcPr>
            <w:tcW w:w="1340" w:type="dxa"/>
            <w:vAlign w:val="bottom"/>
            <w:gridSpan w:val="9"/>
          </w:tcPr>
          <w:p>
            <w:pPr>
              <w:spacing w:after="0"/>
              <w:rPr>
                <w:sz w:val="17"/>
                <w:szCs w:val="17"/>
                <w:color w:val="auto"/>
              </w:rPr>
            </w:pPr>
          </w:p>
        </w:tc>
      </w:tr>
      <w:tr>
        <w:trPr>
          <w:trHeight w:val="223"/>
        </w:trPr>
        <w:tc>
          <w:tcPr>
            <w:tcW w:w="320" w:type="dxa"/>
            <w:vAlign w:val="bottom"/>
          </w:tcPr>
          <w:p>
            <w:pPr>
              <w:jc w:val="right"/>
              <w:spacing w:after="0"/>
              <w:rPr>
                <w:sz w:val="20"/>
                <w:szCs w:val="20"/>
                <w:color w:val="auto"/>
              </w:rPr>
            </w:pPr>
            <w:r>
              <w:rPr>
                <w:rFonts w:ascii="Arial" w:cs="Arial" w:eastAsia="Arial" w:hAnsi="Arial"/>
                <w:sz w:val="18"/>
                <w:szCs w:val="18"/>
                <w:color w:val="0000EE"/>
              </w:rPr>
              <w:t>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30"/>
          </w:tcPr>
          <w:p>
            <w:pPr>
              <w:spacing w:after="0"/>
              <w:rPr>
                <w:sz w:val="20"/>
                <w:szCs w:val="20"/>
                <w:color w:val="auto"/>
              </w:rPr>
            </w:pPr>
            <w:r>
              <w:rPr>
                <w:rFonts w:ascii="Arial" w:cs="Arial" w:eastAsia="Arial" w:hAnsi="Arial"/>
                <w:sz w:val="18"/>
                <w:szCs w:val="18"/>
                <w:color w:val="0000EE"/>
              </w:rPr>
              <w:t>Opinion of Davis Polk &amp; Wardwell LLP, U.S. counsel to the Registrant, with respect to the warrants.</w:t>
            </w: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00" w:type="dxa"/>
            <w:vAlign w:val="bottom"/>
            <w:gridSpan w:val="2"/>
          </w:tcPr>
          <w:p>
            <w:pPr>
              <w:jc w:val="right"/>
              <w:spacing w:after="0"/>
              <w:rPr>
                <w:rFonts w:ascii="Arial" w:cs="Arial" w:eastAsia="Arial" w:hAnsi="Arial"/>
                <w:sz w:val="18"/>
                <w:szCs w:val="18"/>
                <w:color w:val="0000EE"/>
              </w:rPr>
            </w:pPr>
            <w:hyperlink r:id="rId429">
              <w:r>
                <w:rPr>
                  <w:rFonts w:ascii="Arial" w:cs="Arial" w:eastAsia="Arial" w:hAnsi="Arial"/>
                  <w:sz w:val="18"/>
                  <w:szCs w:val="18"/>
                  <w:color w:val="0000EE"/>
                </w:rPr>
                <w:t>8.1**</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30"/>
          </w:tcPr>
          <w:p>
            <w:pPr>
              <w:spacing w:after="0"/>
              <w:rPr>
                <w:rFonts w:ascii="Arial" w:cs="Arial" w:eastAsia="Arial" w:hAnsi="Arial"/>
                <w:sz w:val="18"/>
                <w:szCs w:val="18"/>
                <w:color w:val="0000EE"/>
              </w:rPr>
            </w:pPr>
            <w:hyperlink r:id="rId429">
              <w:r>
                <w:rPr>
                  <w:rFonts w:ascii="Arial" w:cs="Arial" w:eastAsia="Arial" w:hAnsi="Arial"/>
                  <w:sz w:val="18"/>
                  <w:szCs w:val="18"/>
                  <w:color w:val="0000EE"/>
                </w:rPr>
                <w:t>Opinion of Davis Polk &amp; Wardwell LLP as to U.S. tax matters.</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2"/>
          </w:tcPr>
          <w:p>
            <w:pPr>
              <w:jc w:val="right"/>
              <w:spacing w:after="0" w:line="196" w:lineRule="exact"/>
              <w:rPr>
                <w:rFonts w:ascii="Arial" w:cs="Arial" w:eastAsia="Arial" w:hAnsi="Arial"/>
                <w:sz w:val="18"/>
                <w:szCs w:val="18"/>
                <w:color w:val="0000EE"/>
                <w:w w:val="97"/>
              </w:rPr>
            </w:pPr>
            <w:hyperlink r:id="rId430">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30"/>
          </w:tcPr>
          <w:p>
            <w:pPr>
              <w:spacing w:after="0" w:line="196" w:lineRule="exact"/>
              <w:rPr>
                <w:rFonts w:ascii="Arial" w:cs="Arial" w:eastAsia="Arial" w:hAnsi="Arial"/>
                <w:sz w:val="18"/>
                <w:szCs w:val="18"/>
                <w:color w:val="0000EE"/>
              </w:rPr>
            </w:pPr>
            <w:hyperlink r:id="rId430">
              <w:r>
                <w:rPr>
                  <w:rFonts w:ascii="Arial" w:cs="Arial" w:eastAsia="Arial" w:hAnsi="Arial"/>
                  <w:sz w:val="18"/>
                  <w:szCs w:val="18"/>
                  <w:color w:val="0000EE"/>
                </w:rPr>
                <w:t>Patent Transfer Agreement, dated as of February 22, 2011, between the Registrant and Oramed Ltd.</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w w:val="97"/>
              </w:rPr>
            </w:pPr>
            <w:hyperlink r:id="rId431">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2**</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30"/>
          </w:tcPr>
          <w:p>
            <w:pPr>
              <w:spacing w:after="0"/>
              <w:rPr>
                <w:rFonts w:ascii="Arial" w:cs="Arial" w:eastAsia="Arial" w:hAnsi="Arial"/>
                <w:sz w:val="18"/>
                <w:szCs w:val="18"/>
                <w:color w:val="0000EE"/>
                <w:w w:val="91"/>
              </w:rPr>
            </w:pPr>
            <w:hyperlink r:id="rId431">
              <w:r>
                <w:rPr>
                  <w:rFonts w:ascii="Arial" w:cs="Arial" w:eastAsia="Arial" w:hAnsi="Arial"/>
                  <w:sz w:val="18"/>
                  <w:szCs w:val="18"/>
                  <w:color w:val="0000EE"/>
                  <w:w w:val="91"/>
                </w:rPr>
                <w:t>Convertible Financing Agreement, dated as of November 8, 2012, among the Registrant, D.N.A Biomedical Solutions, Ltd. and the lenders</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431">
              <w:r>
                <w:rPr>
                  <w:rFonts w:ascii="Arial" w:cs="Arial" w:eastAsia="Arial" w:hAnsi="Arial"/>
                  <w:sz w:val="18"/>
                  <w:szCs w:val="18"/>
                  <w:color w:val="0000EE"/>
                </w:rPr>
                <w:t>thereto.</w:t>
              </w:r>
            </w:hyperlink>
          </w:p>
        </w:tc>
        <w:tc>
          <w:tcPr>
            <w:tcW w:w="100" w:type="dxa"/>
            <w:vAlign w:val="bottom"/>
            <w:gridSpan w:val="2"/>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2">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3**</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20" w:type="dxa"/>
            <w:vAlign w:val="bottom"/>
            <w:tcBorders>
              <w:bottom w:val="single" w:sz="8" w:color="0000EE"/>
            </w:tcBorders>
            <w:gridSpan w:val="29"/>
          </w:tcPr>
          <w:p>
            <w:pPr>
              <w:spacing w:after="0"/>
              <w:rPr>
                <w:rFonts w:ascii="Arial" w:cs="Arial" w:eastAsia="Arial" w:hAnsi="Arial"/>
                <w:sz w:val="18"/>
                <w:szCs w:val="18"/>
                <w:color w:val="0000EE"/>
                <w:w w:val="90"/>
              </w:rPr>
            </w:pPr>
            <w:hyperlink r:id="rId432">
              <w:r>
                <w:rPr>
                  <w:rFonts w:ascii="Arial" w:cs="Arial" w:eastAsia="Arial" w:hAnsi="Arial"/>
                  <w:sz w:val="18"/>
                  <w:szCs w:val="18"/>
                  <w:color w:val="0000EE"/>
                  <w:w w:val="90"/>
                </w:rPr>
                <w:t>Convertible Financing Agreement, dated as of December 31, 2012, among the Registrant, D.N.A Biomedical Solutions, Ltd. and the lenders</w:t>
              </w:r>
            </w:hyperlink>
          </w:p>
        </w:tc>
        <w:tc>
          <w:tcPr>
            <w:tcW w:w="20" w:type="dxa"/>
            <w:vAlign w:val="bottom"/>
          </w:tcPr>
          <w:p>
            <w:pPr>
              <w:spacing w:after="0"/>
              <w:rPr>
                <w:sz w:val="19"/>
                <w:szCs w:val="19"/>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30"/>
          </w:tcPr>
          <w:p>
            <w:pPr>
              <w:spacing w:after="0" w:line="196" w:lineRule="exact"/>
              <w:rPr>
                <w:rFonts w:ascii="Arial" w:cs="Arial" w:eastAsia="Arial" w:hAnsi="Arial"/>
                <w:sz w:val="18"/>
                <w:szCs w:val="18"/>
                <w:color w:val="0000EE"/>
              </w:rPr>
            </w:pPr>
            <w:hyperlink r:id="rId432">
              <w:r>
                <w:rPr>
                  <w:rFonts w:ascii="Arial" w:cs="Arial" w:eastAsia="Arial" w:hAnsi="Arial"/>
                  <w:sz w:val="18"/>
                  <w:szCs w:val="18"/>
                  <w:color w:val="0000EE"/>
                </w:rPr>
                <w:t>thereto.</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37"/>
        </w:trPr>
        <w:tc>
          <w:tcPr>
            <w:tcW w:w="500" w:type="dxa"/>
            <w:vAlign w:val="bottom"/>
            <w:gridSpan w:val="2"/>
          </w:tcPr>
          <w:p>
            <w:pPr>
              <w:jc w:val="center"/>
              <w:spacing w:after="0"/>
              <w:rPr>
                <w:rFonts w:ascii="Arial" w:cs="Arial" w:eastAsia="Arial" w:hAnsi="Arial"/>
                <w:sz w:val="18"/>
                <w:szCs w:val="18"/>
                <w:color w:val="0000EE"/>
              </w:rPr>
            </w:pPr>
            <w:hyperlink r:id="rId433">
              <w:r>
                <w:rPr>
                  <w:rFonts w:ascii="Arial" w:cs="Arial" w:eastAsia="Arial" w:hAnsi="Arial"/>
                  <w:sz w:val="18"/>
                  <w:szCs w:val="18"/>
                  <w:color w:val="0000EE"/>
                </w:rPr>
                <w:t>10.4**</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30"/>
          </w:tcPr>
          <w:p>
            <w:pPr>
              <w:spacing w:after="0"/>
              <w:rPr>
                <w:rFonts w:ascii="Arial" w:cs="Arial" w:eastAsia="Arial" w:hAnsi="Arial"/>
                <w:sz w:val="18"/>
                <w:szCs w:val="18"/>
                <w:color w:val="0000EE"/>
              </w:rPr>
            </w:pPr>
            <w:hyperlink r:id="rId433">
              <w:r>
                <w:rPr>
                  <w:rFonts w:ascii="Arial" w:cs="Arial" w:eastAsia="Arial" w:hAnsi="Arial"/>
                  <w:sz w:val="18"/>
                  <w:szCs w:val="18"/>
                  <w:color w:val="0000EE"/>
                </w:rPr>
                <w:t>The Entera Bio Ltd. Share Incentive Plan.</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500" w:type="dxa"/>
            <w:vAlign w:val="bottom"/>
            <w:gridSpan w:val="2"/>
          </w:tcPr>
          <w:p>
            <w:pPr>
              <w:jc w:val="right"/>
              <w:spacing w:after="0" w:line="196" w:lineRule="exact"/>
              <w:rPr>
                <w:rFonts w:ascii="Arial" w:cs="Arial" w:eastAsia="Arial" w:hAnsi="Arial"/>
                <w:sz w:val="18"/>
                <w:szCs w:val="18"/>
                <w:color w:val="0000EE"/>
                <w:w w:val="97"/>
              </w:rPr>
            </w:pPr>
            <w:hyperlink r:id="rId434">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30"/>
          </w:tcPr>
          <w:p>
            <w:pPr>
              <w:spacing w:after="0" w:line="196" w:lineRule="exact"/>
              <w:rPr>
                <w:rFonts w:ascii="Arial" w:cs="Arial" w:eastAsia="Arial" w:hAnsi="Arial"/>
                <w:sz w:val="18"/>
                <w:szCs w:val="18"/>
                <w:color w:val="0000EE"/>
              </w:rPr>
            </w:pPr>
            <w:hyperlink r:id="rId434">
              <w:r>
                <w:rPr>
                  <w:rFonts w:ascii="Arial" w:cs="Arial" w:eastAsia="Arial" w:hAnsi="Arial"/>
                  <w:sz w:val="18"/>
                  <w:szCs w:val="18"/>
                  <w:color w:val="0000EE"/>
                </w:rPr>
                <w:t>Series A Preferred Share Purchase Agreement, dated as of January 29, 2014, between the Registrant and Centillion Fund.</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040" w:type="dxa"/>
            <w:vAlign w:val="bottom"/>
            <w:gridSpan w:val="8"/>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5">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6**</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tcBorders>
              <w:bottom w:val="single" w:sz="8" w:color="0000EE"/>
            </w:tcBorders>
            <w:gridSpan w:val="27"/>
          </w:tcPr>
          <w:p>
            <w:pPr>
              <w:spacing w:after="0"/>
              <w:rPr>
                <w:rFonts w:ascii="Arial" w:cs="Arial" w:eastAsia="Arial" w:hAnsi="Arial"/>
                <w:sz w:val="18"/>
                <w:szCs w:val="18"/>
                <w:color w:val="0000EE"/>
                <w:w w:val="89"/>
              </w:rPr>
            </w:pPr>
            <w:hyperlink r:id="rId435">
              <w:r>
                <w:rPr>
                  <w:rFonts w:ascii="Arial" w:cs="Arial" w:eastAsia="Arial" w:hAnsi="Arial"/>
                  <w:sz w:val="18"/>
                  <w:szCs w:val="18"/>
                  <w:color w:val="0000EE"/>
                  <w:w w:val="89"/>
                </w:rPr>
                <w:t>First Amendment to Series A Preferred Share Purchase Agreement, dated as of June 18, 2014, between the Registrant and Centillion Fund.</w:t>
              </w:r>
            </w:hyperlink>
          </w:p>
        </w:tc>
        <w:tc>
          <w:tcPr>
            <w:tcW w:w="120" w:type="dxa"/>
            <w:vAlign w:val="bottom"/>
            <w:gridSpan w:val="3"/>
          </w:tcPr>
          <w:p>
            <w:pPr>
              <w:spacing w:after="0"/>
              <w:rPr>
                <w:sz w:val="19"/>
                <w:szCs w:val="19"/>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w w:val="97"/>
              </w:rPr>
            </w:pPr>
            <w:hyperlink r:id="rId436">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7**</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30"/>
          </w:tcPr>
          <w:p>
            <w:pPr>
              <w:spacing w:after="0"/>
              <w:rPr>
                <w:rFonts w:ascii="Arial" w:cs="Arial" w:eastAsia="Arial" w:hAnsi="Arial"/>
                <w:sz w:val="18"/>
                <w:szCs w:val="18"/>
                <w:color w:val="0000EE"/>
                <w:w w:val="90"/>
              </w:rPr>
            </w:pPr>
            <w:hyperlink r:id="rId436">
              <w:r>
                <w:rPr>
                  <w:rFonts w:ascii="Arial" w:cs="Arial" w:eastAsia="Arial" w:hAnsi="Arial"/>
                  <w:sz w:val="18"/>
                  <w:szCs w:val="18"/>
                  <w:color w:val="0000EE"/>
                  <w:w w:val="90"/>
                </w:rPr>
                <w:t>Second Amendment to Series A Preferred Share Purchase Agreement, dated as of January 21, 2015, between the Registrant and Centillion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36">
              <w:r>
                <w:rPr>
                  <w:rFonts w:ascii="Arial" w:cs="Arial" w:eastAsia="Arial" w:hAnsi="Arial"/>
                  <w:sz w:val="18"/>
                  <w:szCs w:val="18"/>
                  <w:color w:val="0000EE"/>
                  <w:w w:val="86"/>
                </w:rPr>
                <w:t>Fund.</w:t>
              </w:r>
            </w:hyperlink>
          </w:p>
        </w:tc>
        <w:tc>
          <w:tcPr>
            <w:tcW w:w="9560" w:type="dxa"/>
            <w:vAlign w:val="bottom"/>
            <w:tcBorders>
              <w:top w:val="single" w:sz="8" w:color="0000EE"/>
            </w:tcBorders>
            <w:gridSpan w:val="25"/>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w w:val="97"/>
              </w:rPr>
            </w:pPr>
            <w:hyperlink r:id="rId437">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8**</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30"/>
          </w:tcPr>
          <w:p>
            <w:pPr>
              <w:spacing w:after="0"/>
              <w:rPr>
                <w:rFonts w:ascii="Arial" w:cs="Arial" w:eastAsia="Arial" w:hAnsi="Arial"/>
                <w:sz w:val="18"/>
                <w:szCs w:val="18"/>
                <w:color w:val="0000EE"/>
                <w:w w:val="93"/>
              </w:rPr>
            </w:pPr>
            <w:hyperlink r:id="rId437">
              <w:r>
                <w:rPr>
                  <w:rFonts w:ascii="Arial" w:cs="Arial" w:eastAsia="Arial" w:hAnsi="Arial"/>
                  <w:sz w:val="18"/>
                  <w:szCs w:val="18"/>
                  <w:color w:val="0000EE"/>
                  <w:w w:val="93"/>
                </w:rPr>
                <w:t>Third Amendment to Series A Preferred Share Purchase Agreement, dated as of November 2015, between the Registrant and Centillion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37">
              <w:r>
                <w:rPr>
                  <w:rFonts w:ascii="Arial" w:cs="Arial" w:eastAsia="Arial" w:hAnsi="Arial"/>
                  <w:sz w:val="18"/>
                  <w:szCs w:val="18"/>
                  <w:color w:val="0000EE"/>
                  <w:w w:val="86"/>
                </w:rPr>
                <w:t>Fund.</w:t>
              </w:r>
            </w:hyperlink>
          </w:p>
        </w:tc>
        <w:tc>
          <w:tcPr>
            <w:tcW w:w="9360" w:type="dxa"/>
            <w:vAlign w:val="bottom"/>
            <w:tcBorders>
              <w:top w:val="single" w:sz="8" w:color="0000EE"/>
            </w:tcBorders>
            <w:gridSpan w:val="24"/>
          </w:tcPr>
          <w:p>
            <w:pPr>
              <w:spacing w:after="0"/>
              <w:rPr>
                <w:sz w:val="17"/>
                <w:szCs w:val="17"/>
                <w:color w:val="auto"/>
              </w:rPr>
            </w:pPr>
          </w:p>
        </w:tc>
        <w:tc>
          <w:tcPr>
            <w:tcW w:w="360" w:type="dxa"/>
            <w:vAlign w:val="bottom"/>
            <w:gridSpan w:val="5"/>
          </w:tcPr>
          <w:p>
            <w:pPr>
              <w:spacing w:after="0"/>
              <w:rPr>
                <w:sz w:val="17"/>
                <w:szCs w:val="17"/>
                <w:color w:val="auto"/>
              </w:rPr>
            </w:pPr>
          </w:p>
        </w:tc>
      </w:tr>
      <w:tr>
        <w:trPr>
          <w:trHeight w:val="223"/>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8">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9**</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tcBorders>
              <w:bottom w:val="single" w:sz="8" w:color="0000EE"/>
            </w:tcBorders>
            <w:gridSpan w:val="30"/>
          </w:tcPr>
          <w:p>
            <w:pPr>
              <w:spacing w:after="0"/>
              <w:rPr>
                <w:rFonts w:ascii="Arial" w:cs="Arial" w:eastAsia="Arial" w:hAnsi="Arial"/>
                <w:sz w:val="18"/>
                <w:szCs w:val="18"/>
                <w:color w:val="0000EE"/>
                <w:w w:val="89"/>
              </w:rPr>
            </w:pPr>
            <w:hyperlink r:id="rId438">
              <w:r>
                <w:rPr>
                  <w:rFonts w:ascii="Arial" w:cs="Arial" w:eastAsia="Arial" w:hAnsi="Arial"/>
                  <w:sz w:val="18"/>
                  <w:szCs w:val="18"/>
                  <w:color w:val="0000EE"/>
                  <w:w w:val="89"/>
                </w:rPr>
                <w:t>Fourth Amendment to Series A Preferred Share Purchase Agreement, dated as of July 20, 2017, between the Registrant and Centillion Fund.</w:t>
              </w:r>
            </w:hyperlink>
          </w:p>
        </w:tc>
      </w:tr>
      <w:tr>
        <w:trPr>
          <w:trHeight w:val="223"/>
        </w:trPr>
        <w:tc>
          <w:tcPr>
            <w:tcW w:w="600" w:type="dxa"/>
            <w:vAlign w:val="bottom"/>
            <w:gridSpan w:val="4"/>
          </w:tcPr>
          <w:p>
            <w:pPr>
              <w:jc w:val="right"/>
              <w:spacing w:after="0"/>
              <w:rPr>
                <w:rFonts w:ascii="Arial" w:cs="Arial" w:eastAsia="Arial" w:hAnsi="Arial"/>
                <w:sz w:val="18"/>
                <w:szCs w:val="18"/>
                <w:color w:val="0000EE"/>
                <w:w w:val="98"/>
              </w:rPr>
            </w:pPr>
            <w:hyperlink r:id="rId439">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10**</w:t>
              </w:r>
            </w:hyperlink>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30"/>
          </w:tcPr>
          <w:p>
            <w:pPr>
              <w:spacing w:after="0"/>
              <w:rPr>
                <w:rFonts w:ascii="Arial" w:cs="Arial" w:eastAsia="Arial" w:hAnsi="Arial"/>
                <w:sz w:val="18"/>
                <w:szCs w:val="18"/>
                <w:color w:val="0000EE"/>
                <w:w w:val="95"/>
              </w:rPr>
            </w:pPr>
            <w:hyperlink r:id="rId439">
              <w:r>
                <w:rPr>
                  <w:rFonts w:ascii="Arial" w:cs="Arial" w:eastAsia="Arial" w:hAnsi="Arial"/>
                  <w:sz w:val="18"/>
                  <w:szCs w:val="18"/>
                  <w:color w:val="0000EE"/>
                  <w:w w:val="95"/>
                </w:rPr>
                <w:t>Series B Preferred Share Purchase Agreement, dated as of October 4, 2017, October 25, 2017 and December 18, 2017, between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39">
              <w:r>
                <w:rPr>
                  <w:rFonts w:ascii="Arial" w:cs="Arial" w:eastAsia="Arial" w:hAnsi="Arial"/>
                  <w:sz w:val="18"/>
                  <w:szCs w:val="18"/>
                  <w:color w:val="0000EE"/>
                </w:rPr>
                <w:t>Registrant and the other parties thereto.</w:t>
              </w:r>
            </w:hyperlink>
          </w:p>
        </w:tc>
        <w:tc>
          <w:tcPr>
            <w:tcW w:w="680" w:type="dxa"/>
            <w:vAlign w:val="bottom"/>
            <w:gridSpan w:val="7"/>
          </w:tcPr>
          <w:p>
            <w:pPr>
              <w:spacing w:after="0"/>
              <w:rPr>
                <w:sz w:val="17"/>
                <w:szCs w:val="17"/>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23"/>
        </w:trPr>
        <w:tc>
          <w:tcPr>
            <w:tcW w:w="580" w:type="dxa"/>
            <w:vAlign w:val="bottom"/>
            <w:tcBorders>
              <w:bottom w:val="single" w:sz="8" w:color="0000EE"/>
            </w:tcBorders>
            <w:gridSpan w:val="3"/>
          </w:tcPr>
          <w:p>
            <w:pPr>
              <w:jc w:val="center"/>
              <w:spacing w:after="0"/>
              <w:rPr>
                <w:rFonts w:ascii="Arial" w:cs="Arial" w:eastAsia="Arial" w:hAnsi="Arial"/>
                <w:sz w:val="18"/>
                <w:szCs w:val="18"/>
                <w:color w:val="0000EE"/>
                <w:w w:val="94"/>
              </w:rPr>
            </w:pPr>
            <w:hyperlink r:id="rId426">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11**</w:t>
              </w:r>
            </w:hyperlink>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720" w:type="dxa"/>
            <w:vAlign w:val="bottom"/>
            <w:tcBorders>
              <w:bottom w:val="single" w:sz="8" w:color="0000EE"/>
            </w:tcBorders>
            <w:gridSpan w:val="24"/>
          </w:tcPr>
          <w:p>
            <w:pPr>
              <w:spacing w:after="0"/>
              <w:rPr>
                <w:rFonts w:ascii="Arial" w:cs="Arial" w:eastAsia="Arial" w:hAnsi="Arial"/>
                <w:sz w:val="18"/>
                <w:szCs w:val="18"/>
                <w:color w:val="0000EE"/>
                <w:w w:val="89"/>
              </w:rPr>
            </w:pPr>
            <w:hyperlink r:id="rId426">
              <w:r>
                <w:rPr>
                  <w:rFonts w:ascii="Arial" w:cs="Arial" w:eastAsia="Arial" w:hAnsi="Arial"/>
                  <w:sz w:val="18"/>
                  <w:szCs w:val="18"/>
                  <w:color w:val="0000EE"/>
                  <w:w w:val="89"/>
                </w:rPr>
                <w:t>Amended and Restated Investors’ Rights Agreement, dated as of October 4, 2017, between the Registrant and the other parties thereto.</w:t>
              </w:r>
            </w:hyperlink>
          </w:p>
        </w:tc>
        <w:tc>
          <w:tcPr>
            <w:tcW w:w="420" w:type="dxa"/>
            <w:vAlign w:val="bottom"/>
            <w:gridSpan w:val="6"/>
          </w:tcPr>
          <w:p>
            <w:pPr>
              <w:spacing w:after="0"/>
              <w:rPr>
                <w:sz w:val="19"/>
                <w:szCs w:val="19"/>
                <w:color w:val="auto"/>
              </w:rPr>
            </w:pPr>
          </w:p>
        </w:tc>
      </w:tr>
      <w:tr>
        <w:trPr>
          <w:trHeight w:val="223"/>
        </w:trPr>
        <w:tc>
          <w:tcPr>
            <w:tcW w:w="600" w:type="dxa"/>
            <w:vAlign w:val="bottom"/>
            <w:tcBorders>
              <w:bottom w:val="single" w:sz="8" w:color="0000EE"/>
            </w:tcBorders>
            <w:gridSpan w:val="4"/>
          </w:tcPr>
          <w:p>
            <w:pPr>
              <w:jc w:val="right"/>
              <w:spacing w:after="0"/>
              <w:rPr>
                <w:rFonts w:ascii="Arial" w:cs="Arial" w:eastAsia="Arial" w:hAnsi="Arial"/>
                <w:sz w:val="18"/>
                <w:szCs w:val="18"/>
                <w:color w:val="0000EE"/>
                <w:w w:val="98"/>
              </w:rPr>
            </w:pPr>
            <w:hyperlink r:id="rId440">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12**</w:t>
              </w:r>
            </w:hyperlink>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180" w:type="dxa"/>
            <w:vAlign w:val="bottom"/>
            <w:tcBorders>
              <w:bottom w:val="single" w:sz="8" w:color="0000EE"/>
            </w:tcBorders>
            <w:gridSpan w:val="16"/>
          </w:tcPr>
          <w:p>
            <w:pPr>
              <w:spacing w:after="0"/>
              <w:rPr>
                <w:rFonts w:ascii="Arial" w:cs="Arial" w:eastAsia="Arial" w:hAnsi="Arial"/>
                <w:sz w:val="18"/>
                <w:szCs w:val="18"/>
                <w:color w:val="0000EE"/>
                <w:w w:val="91"/>
              </w:rPr>
            </w:pPr>
            <w:hyperlink r:id="rId440">
              <w:r>
                <w:rPr>
                  <w:rFonts w:ascii="Arial" w:cs="Arial" w:eastAsia="Arial" w:hAnsi="Arial"/>
                  <w:sz w:val="18"/>
                  <w:szCs w:val="18"/>
                  <w:color w:val="0000EE"/>
                  <w:w w:val="91"/>
                </w:rPr>
                <w:t>Form of indemnification agreement between the Registrant and its directors and executive officers.</w:t>
              </w:r>
            </w:hyperlink>
          </w:p>
        </w:tc>
        <w:tc>
          <w:tcPr>
            <w:tcW w:w="2960" w:type="dxa"/>
            <w:vAlign w:val="bottom"/>
            <w:gridSpan w:val="14"/>
          </w:tcPr>
          <w:p>
            <w:pPr>
              <w:spacing w:after="0"/>
              <w:rPr>
                <w:sz w:val="19"/>
                <w:szCs w:val="19"/>
                <w:color w:val="auto"/>
              </w:rPr>
            </w:pPr>
          </w:p>
        </w:tc>
      </w:tr>
      <w:tr>
        <w:trPr>
          <w:trHeight w:val="223"/>
        </w:trPr>
        <w:tc>
          <w:tcPr>
            <w:tcW w:w="600" w:type="dxa"/>
            <w:vAlign w:val="bottom"/>
            <w:gridSpan w:val="4"/>
          </w:tcPr>
          <w:p>
            <w:pPr>
              <w:jc w:val="right"/>
              <w:spacing w:after="0"/>
              <w:rPr>
                <w:rFonts w:ascii="Arial" w:cs="Arial" w:eastAsia="Arial" w:hAnsi="Arial"/>
                <w:sz w:val="18"/>
                <w:szCs w:val="18"/>
                <w:color w:val="0000EE"/>
                <w:w w:val="98"/>
              </w:rPr>
            </w:pPr>
            <w:hyperlink r:id="rId441">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13**</w:t>
              </w:r>
            </w:hyperlink>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30"/>
          </w:tcPr>
          <w:p>
            <w:pPr>
              <w:spacing w:after="0"/>
              <w:rPr>
                <w:rFonts w:ascii="Arial" w:cs="Arial" w:eastAsia="Arial" w:hAnsi="Arial"/>
                <w:sz w:val="18"/>
                <w:szCs w:val="18"/>
                <w:color w:val="0000EE"/>
              </w:rPr>
            </w:pPr>
            <w:hyperlink r:id="rId441">
              <w:r>
                <w:rPr>
                  <w:rFonts w:ascii="Arial" w:cs="Arial" w:eastAsia="Arial" w:hAnsi="Arial"/>
                  <w:sz w:val="18"/>
                  <w:szCs w:val="18"/>
                  <w:color w:val="0000EE"/>
                </w:rPr>
                <w:t>Form of Convertible Financing Agreement, dated as of June 14, 2016, among the Registrant and the lenders thereto.</w:t>
              </w:r>
            </w:hyperlink>
          </w:p>
        </w:tc>
      </w:tr>
      <w:tr>
        <w:trPr>
          <w:trHeight w:val="237"/>
        </w:trPr>
        <w:tc>
          <w:tcPr>
            <w:tcW w:w="600" w:type="dxa"/>
            <w:vAlign w:val="bottom"/>
            <w:tcBorders>
              <w:top w:val="single" w:sz="8" w:color="0000EE"/>
            </w:tcBorders>
            <w:gridSpan w:val="4"/>
          </w:tcPr>
          <w:p>
            <w:pPr>
              <w:jc w:val="right"/>
              <w:spacing w:after="0"/>
              <w:rPr>
                <w:rFonts w:ascii="Arial" w:cs="Arial" w:eastAsia="Arial" w:hAnsi="Arial"/>
                <w:sz w:val="18"/>
                <w:szCs w:val="18"/>
                <w:color w:val="0000EE"/>
                <w:w w:val="98"/>
              </w:rPr>
            </w:pPr>
            <w:hyperlink r:id="rId442">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14**</w:t>
              </w:r>
            </w:hyperlink>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tcBorders>
              <w:top w:val="single" w:sz="8" w:color="0000EE"/>
            </w:tcBorders>
            <w:gridSpan w:val="19"/>
          </w:tcPr>
          <w:p>
            <w:pPr>
              <w:spacing w:after="0"/>
              <w:rPr>
                <w:rFonts w:ascii="Arial" w:cs="Arial" w:eastAsia="Arial" w:hAnsi="Arial"/>
                <w:sz w:val="18"/>
                <w:szCs w:val="18"/>
                <w:color w:val="0000EE"/>
              </w:rPr>
            </w:pPr>
            <w:hyperlink r:id="rId442">
              <w:r>
                <w:rPr>
                  <w:rFonts w:ascii="Arial" w:cs="Arial" w:eastAsia="Arial" w:hAnsi="Arial"/>
                  <w:sz w:val="18"/>
                  <w:szCs w:val="18"/>
                  <w:color w:val="0000EE"/>
                </w:rPr>
                <w:t>Service Agreement, dated April 6, 2017, between Roger Garceau and the Company.</w:t>
              </w:r>
            </w:hyperlink>
          </w:p>
        </w:tc>
        <w:tc>
          <w:tcPr>
            <w:tcW w:w="1780" w:type="dxa"/>
            <w:vAlign w:val="bottom"/>
            <w:gridSpan w:val="11"/>
          </w:tcPr>
          <w:p>
            <w:pPr>
              <w:spacing w:after="0"/>
              <w:rPr>
                <w:sz w:val="20"/>
                <w:szCs w:val="20"/>
                <w:color w:val="auto"/>
              </w:rPr>
            </w:pPr>
          </w:p>
        </w:tc>
      </w:tr>
      <w:tr>
        <w:trPr>
          <w:trHeight w:val="210"/>
        </w:trPr>
        <w:tc>
          <w:tcPr>
            <w:tcW w:w="60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98"/>
              </w:rPr>
            </w:pPr>
            <w:hyperlink r:id="rId426">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15**</w:t>
              </w:r>
            </w:hyperlink>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426">
              <w:r>
                <w:rPr>
                  <w:rFonts w:ascii="Arial" w:cs="Arial" w:eastAsia="Arial" w:hAnsi="Arial"/>
                  <w:sz w:val="18"/>
                  <w:szCs w:val="18"/>
                  <w:color w:val="0000EE"/>
                  <w:w w:val="90"/>
                </w:rPr>
                <w:t>Service Agreement, dated April 6, 2017, between Luke Beshar and the Company.</w:t>
              </w:r>
            </w:hyperlink>
          </w:p>
        </w:tc>
        <w:tc>
          <w:tcPr>
            <w:tcW w:w="160" w:type="dxa"/>
            <w:vAlign w:val="bottom"/>
            <w:tcBorders>
              <w:top w:val="single" w:sz="8" w:color="0000EE"/>
            </w:tcBorders>
          </w:tcPr>
          <w:p>
            <w:pPr>
              <w:spacing w:after="0"/>
              <w:rPr>
                <w:sz w:val="18"/>
                <w:szCs w:val="18"/>
                <w:color w:val="auto"/>
              </w:rPr>
            </w:pPr>
          </w:p>
        </w:tc>
        <w:tc>
          <w:tcPr>
            <w:tcW w:w="4100" w:type="dxa"/>
            <w:vAlign w:val="bottom"/>
            <w:gridSpan w:val="17"/>
          </w:tcPr>
          <w:p>
            <w:pPr>
              <w:spacing w:after="0"/>
              <w:rPr>
                <w:sz w:val="18"/>
                <w:szCs w:val="18"/>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6" w:name="page217"/>
    <w:bookmarkEnd w:id="216"/>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gridSpan w:val="4"/>
          </w:tcPr>
          <w:p>
            <w:pPr>
              <w:ind w:left="18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r:id="rId444">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16**</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44">
              <w:r>
                <w:rPr>
                  <w:rFonts w:ascii="Arial" w:cs="Arial" w:eastAsia="Arial" w:hAnsi="Arial"/>
                  <w:sz w:val="18"/>
                  <w:szCs w:val="18"/>
                  <w:color w:val="0000EE"/>
                  <w:w w:val="91"/>
                </w:rPr>
                <w:t>Form of 2018 Equity Incentive Plan and forms of agreements thereunder (to be in effect upon the closing of this offering).</w:t>
              </w:r>
            </w:hyperlink>
          </w:p>
        </w:tc>
        <w:tc>
          <w:tcPr>
            <w:tcW w:w="1340" w:type="dxa"/>
            <w:vAlign w:val="bottom"/>
            <w:gridSpan w:val="3"/>
          </w:tcPr>
          <w:p>
            <w:pPr>
              <w:spacing w:after="0"/>
              <w:rPr>
                <w:sz w:val="17"/>
                <w:szCs w:val="17"/>
                <w:color w:val="auto"/>
              </w:rPr>
            </w:pPr>
          </w:p>
        </w:tc>
      </w:tr>
      <w:tr>
        <w:trPr>
          <w:trHeight w:val="237"/>
        </w:trPr>
        <w:tc>
          <w:tcPr>
            <w:tcW w:w="600" w:type="dxa"/>
            <w:vAlign w:val="bottom"/>
            <w:tcBorders>
              <w:bottom w:val="single" w:sz="8" w:color="0000EE"/>
            </w:tcBorders>
            <w:gridSpan w:val="3"/>
          </w:tcPr>
          <w:p>
            <w:pPr>
              <w:spacing w:after="0"/>
              <w:rPr>
                <w:rFonts w:ascii="Arial" w:cs="Arial" w:eastAsia="Arial" w:hAnsi="Arial"/>
                <w:sz w:val="18"/>
                <w:szCs w:val="18"/>
                <w:color w:val="0000EE"/>
                <w:w w:val="98"/>
              </w:rPr>
            </w:pPr>
            <w:hyperlink r:id="rId445">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17**</w:t>
              </w:r>
            </w:hyperlink>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20" w:type="dxa"/>
            <w:vAlign w:val="bottom"/>
            <w:tcBorders>
              <w:bottom w:val="single" w:sz="8" w:color="0000EE"/>
            </w:tcBorders>
            <w:gridSpan w:val="9"/>
          </w:tcPr>
          <w:p>
            <w:pPr>
              <w:spacing w:after="0"/>
              <w:rPr>
                <w:rFonts w:ascii="Arial" w:cs="Arial" w:eastAsia="Arial" w:hAnsi="Arial"/>
                <w:sz w:val="18"/>
                <w:szCs w:val="18"/>
                <w:color w:val="0000EE"/>
                <w:w w:val="89"/>
              </w:rPr>
            </w:pPr>
            <w:hyperlink r:id="rId445">
              <w:r>
                <w:rPr>
                  <w:rFonts w:ascii="Arial" w:cs="Arial" w:eastAsia="Arial" w:hAnsi="Arial"/>
                  <w:sz w:val="18"/>
                  <w:szCs w:val="18"/>
                  <w:color w:val="0000EE"/>
                  <w:w w:val="89"/>
                </w:rPr>
                <w:t>Amendment No. 1 to the Series B Preferred Share Purchase Agreement, dated December 18, 2017, between the Registrant and the other</w:t>
              </w:r>
            </w:hyperlink>
          </w:p>
        </w:tc>
        <w:tc>
          <w:tcPr>
            <w:tcW w:w="320" w:type="dxa"/>
            <w:vAlign w:val="bottom"/>
            <w:gridSpan w:val="2"/>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445">
              <w:r>
                <w:rPr>
                  <w:rFonts w:ascii="Arial" w:cs="Arial" w:eastAsia="Arial" w:hAnsi="Arial"/>
                  <w:sz w:val="18"/>
                  <w:szCs w:val="18"/>
                  <w:color w:val="0000EE"/>
                  <w:w w:val="88"/>
                </w:rPr>
                <w:t>parties thereto.</w:t>
              </w:r>
            </w:hyperlink>
          </w:p>
        </w:tc>
        <w:tc>
          <w:tcPr>
            <w:tcW w:w="9060" w:type="dxa"/>
            <w:vAlign w:val="bottom"/>
            <w:gridSpan w:val="10"/>
          </w:tcPr>
          <w:p>
            <w:pPr>
              <w:spacing w:after="0"/>
              <w:rPr>
                <w:sz w:val="17"/>
                <w:szCs w:val="17"/>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98"/>
              </w:rPr>
            </w:pPr>
            <w:hyperlink r:id="rId446">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18**</w:t>
              </w:r>
            </w:hyperlink>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Borders>
              <w:bottom w:val="single" w:sz="8" w:color="0000EE"/>
            </w:tcBorders>
            <w:gridSpan w:val="3"/>
          </w:tcPr>
          <w:p>
            <w:pPr>
              <w:spacing w:after="0"/>
              <w:rPr>
                <w:rFonts w:ascii="Arial" w:cs="Arial" w:eastAsia="Arial" w:hAnsi="Arial"/>
                <w:sz w:val="18"/>
                <w:szCs w:val="18"/>
                <w:color w:val="0000EE"/>
                <w:w w:val="91"/>
              </w:rPr>
            </w:pPr>
            <w:hyperlink r:id="rId446">
              <w:r>
                <w:rPr>
                  <w:rFonts w:ascii="Arial" w:cs="Arial" w:eastAsia="Arial" w:hAnsi="Arial"/>
                  <w:sz w:val="18"/>
                  <w:szCs w:val="18"/>
                  <w:color w:val="0000EE"/>
                  <w:w w:val="91"/>
                </w:rPr>
                <w:t>Form of Warrant Agency Agreement</w:t>
              </w:r>
            </w:hyperlink>
          </w:p>
        </w:tc>
        <w:tc>
          <w:tcPr>
            <w:tcW w:w="7480" w:type="dxa"/>
            <w:vAlign w:val="bottom"/>
            <w:gridSpan w:val="8"/>
          </w:tcPr>
          <w:p>
            <w:pPr>
              <w:spacing w:after="0"/>
              <w:rPr>
                <w:sz w:val="21"/>
                <w:szCs w:val="21"/>
                <w:color w:val="auto"/>
              </w:rPr>
            </w:pPr>
          </w:p>
        </w:tc>
      </w:tr>
      <w:tr>
        <w:trPr>
          <w:trHeight w:val="237"/>
        </w:trPr>
        <w:tc>
          <w:tcPr>
            <w:tcW w:w="600" w:type="dxa"/>
            <w:vAlign w:val="bottom"/>
            <w:gridSpan w:val="3"/>
          </w:tcPr>
          <w:p>
            <w:pPr>
              <w:spacing w:after="0"/>
              <w:rPr>
                <w:rFonts w:ascii="Arial" w:cs="Arial" w:eastAsia="Arial" w:hAnsi="Arial"/>
                <w:sz w:val="18"/>
                <w:szCs w:val="18"/>
                <w:color w:val="0000EE"/>
              </w:rPr>
            </w:pPr>
            <w:hyperlink r:id="rId447">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1"/>
          </w:tcPr>
          <w:p>
            <w:pPr>
              <w:spacing w:after="0"/>
              <w:rPr>
                <w:rFonts w:ascii="Arial" w:cs="Arial" w:eastAsia="Arial" w:hAnsi="Arial"/>
                <w:sz w:val="18"/>
                <w:szCs w:val="18"/>
                <w:color w:val="0000EE"/>
              </w:rPr>
            </w:pPr>
            <w:hyperlink r:id="rId447">
              <w:r>
                <w:rPr>
                  <w:rFonts w:ascii="Arial" w:cs="Arial" w:eastAsia="Arial" w:hAnsi="Arial"/>
                  <w:sz w:val="18"/>
                  <w:szCs w:val="18"/>
                  <w:color w:val="0000EE"/>
                </w:rPr>
                <w:t>List of subsidiaries.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Consent of Kesselman &amp; Kesselman, Certified Public Accountants, a member firm of PricewaterhouseCoopers International Limited, an</w:t>
            </w:r>
          </w:p>
        </w:tc>
        <w:tc>
          <w:tcPr>
            <w:tcW w:w="280" w:type="dxa"/>
            <w:vAlign w:val="bottom"/>
          </w:tcPr>
          <w:p>
            <w:pPr>
              <w:spacing w:after="0"/>
              <w:rPr>
                <w:sz w:val="19"/>
                <w:szCs w:val="19"/>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11"/>
          </w:tcPr>
          <w:p>
            <w:pPr>
              <w:spacing w:after="0" w:line="196" w:lineRule="exact"/>
              <w:rPr>
                <w:sz w:val="20"/>
                <w:szCs w:val="20"/>
                <w:color w:val="auto"/>
              </w:rPr>
            </w:pPr>
            <w:r>
              <w:rPr>
                <w:rFonts w:ascii="Arial" w:cs="Arial" w:eastAsia="Arial" w:hAnsi="Arial"/>
                <w:sz w:val="18"/>
                <w:szCs w:val="18"/>
                <w:color w:val="0000EE"/>
              </w:rPr>
              <w:t>independent registered public accounting firm.</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Arial" w:cs="Arial" w:eastAsia="Arial" w:hAnsi="Arial"/>
                <w:sz w:val="18"/>
                <w:szCs w:val="18"/>
                <w:color w:val="0000EE"/>
              </w:rPr>
              <w:t>Consent of Herzog Fox &amp; Neeman (included in Exhibits 5.1).</w:t>
            </w: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5"/>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42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hyperlink>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Borders>
              <w:bottom w:val="single" w:sz="8" w:color="0000EE"/>
            </w:tcBorders>
            <w:gridSpan w:val="7"/>
          </w:tcPr>
          <w:p>
            <w:pPr>
              <w:spacing w:after="0"/>
              <w:rPr>
                <w:rFonts w:ascii="Arial" w:cs="Arial" w:eastAsia="Arial" w:hAnsi="Arial"/>
                <w:sz w:val="18"/>
                <w:szCs w:val="18"/>
                <w:color w:val="0000EE"/>
                <w:w w:val="93"/>
              </w:rPr>
            </w:pPr>
            <w:hyperlink r:id="rId429">
              <w:r>
                <w:rPr>
                  <w:rFonts w:ascii="Arial" w:cs="Arial" w:eastAsia="Arial" w:hAnsi="Arial"/>
                  <w:sz w:val="18"/>
                  <w:szCs w:val="18"/>
                  <w:color w:val="0000EE"/>
                  <w:w w:val="93"/>
                </w:rPr>
                <w:t>Consent of Davis Polk &amp; Wardwell LLP (included in Exhibits 5.2 and 8.1)</w:t>
              </w:r>
            </w:hyperlink>
          </w:p>
        </w:tc>
        <w:tc>
          <w:tcPr>
            <w:tcW w:w="4760" w:type="dxa"/>
            <w:vAlign w:val="bottom"/>
            <w:gridSpan w:val="4"/>
          </w:tcPr>
          <w:p>
            <w:pPr>
              <w:spacing w:after="0"/>
              <w:rPr>
                <w:sz w:val="20"/>
                <w:szCs w:val="20"/>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221">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21">
              <w:r>
                <w:rPr>
                  <w:rFonts w:ascii="Arial" w:cs="Arial" w:eastAsia="Arial" w:hAnsi="Arial"/>
                  <w:sz w:val="18"/>
                  <w:szCs w:val="18"/>
                  <w:color w:val="0000EE"/>
                  <w:w w:val="90"/>
                </w:rPr>
                <w:t>Powers of Attorney (included on signature page).</w:t>
              </w:r>
            </w:hyperlink>
          </w:p>
        </w:tc>
        <w:tc>
          <w:tcPr>
            <w:tcW w:w="6580" w:type="dxa"/>
            <w:vAlign w:val="bottom"/>
            <w:gridSpan w:val="6"/>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151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9100" w:firstLine="8"/>
        <w:spacing w:after="0" w:line="519" w:lineRule="auto"/>
        <w:tabs>
          <w:tab w:leader="none" w:pos="3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 Schedules.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Financial Statements and related notes thereto.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0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referenced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44" w:lineRule="exact"/>
        <w:rPr>
          <w:sz w:val="20"/>
          <w:szCs w:val="20"/>
          <w:color w:val="auto"/>
        </w:rPr>
      </w:pPr>
    </w:p>
    <w:p>
      <w:pPr>
        <w:ind w:left="720" w:hanging="352"/>
        <w:spacing w:after="0"/>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4" w:lineRule="exact"/>
        <w:rPr>
          <w:rFonts w:ascii="Arial" w:cs="Arial" w:eastAsia="Arial" w:hAnsi="Arial"/>
          <w:sz w:val="18"/>
          <w:szCs w:val="18"/>
          <w:color w:val="auto"/>
        </w:rPr>
      </w:pPr>
    </w:p>
    <w:p>
      <w:pPr>
        <w:ind w:left="1080" w:hanging="35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1080" w:right="700" w:hanging="352"/>
        <w:spacing w:after="0" w:line="291" w:lineRule="auto"/>
        <w:tabs>
          <w:tab w:leader="none" w:pos="108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7" w:name="page218"/>
    <w:bookmarkEnd w:id="217"/>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80" w:right="340" w:hanging="352"/>
        <w:spacing w:after="0" w:line="277"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ind w:left="720" w:right="20" w:hanging="352"/>
        <w:spacing w:after="0" w:line="264" w:lineRule="auto"/>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720" w:right="460" w:hanging="352"/>
        <w:spacing w:after="0" w:line="277" w:lineRule="auto"/>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720" w:hanging="352"/>
        <w:spacing w:after="0" w:line="289" w:lineRule="auto"/>
        <w:tabs>
          <w:tab w:leader="none" w:pos="7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registrant is a foreign private issuer, to file a post-effective amendment to the registration statement to include any financial statements required by “Item 8.A. of Form 20-F (17 CFR 249.220f)”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(§239.33 of this chapter), a post-effective amendment need not be filed to include financial statements and information required by Section 10(a)(3) of the Act or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12" w:lineRule="exact"/>
        <w:rPr>
          <w:rFonts w:ascii="Arial" w:cs="Arial" w:eastAsia="Arial" w:hAnsi="Arial"/>
          <w:sz w:val="16"/>
          <w:szCs w:val="16"/>
          <w:color w:val="auto"/>
        </w:rPr>
      </w:pPr>
    </w:p>
    <w:p>
      <w:pPr>
        <w:ind w:left="720" w:right="180" w:hanging="352"/>
        <w:spacing w:after="0" w:line="277" w:lineRule="auto"/>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provide to the underwriter specified in the Underwriting Agreement, at the closing, certificates in such denominations and registered in such names as required by the underwriter to permit prompt delivery to each purchaser.</w:t>
      </w:r>
    </w:p>
    <w:p>
      <w:pPr>
        <w:spacing w:after="0" w:line="116" w:lineRule="exact"/>
        <w:rPr>
          <w:rFonts w:ascii="Arial" w:cs="Arial" w:eastAsia="Arial" w:hAnsi="Arial"/>
          <w:sz w:val="18"/>
          <w:szCs w:val="18"/>
          <w:color w:val="auto"/>
        </w:rPr>
      </w:pPr>
    </w:p>
    <w:p>
      <w:pPr>
        <w:ind w:left="720" w:right="20" w:hanging="352"/>
        <w:spacing w:after="0" w:line="259" w:lineRule="auto"/>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2" w:lineRule="exact"/>
        <w:rPr>
          <w:rFonts w:ascii="Arial" w:cs="Arial" w:eastAsia="Arial" w:hAnsi="Arial"/>
          <w:sz w:val="18"/>
          <w:szCs w:val="18"/>
          <w:color w:val="auto"/>
        </w:rPr>
      </w:pPr>
    </w:p>
    <w:p>
      <w:pPr>
        <w:ind w:left="720" w:right="20" w:hanging="352"/>
        <w:spacing w:after="0" w:line="264" w:lineRule="auto"/>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240" w:top="132" w:right="799" w:bottom="1440" w:gutter="0" w:footer="0" w:header="0"/>
        </w:sectPr>
      </w:pPr>
    </w:p>
    <w:bookmarkStart w:id="218" w:name="page219"/>
    <w:bookmarkEnd w:id="218"/>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80" w:type="dxa"/>
            <w:vAlign w:val="bottom"/>
            <w:gridSpan w:val="25"/>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278"/>
        </w:trPr>
        <w:tc>
          <w:tcPr>
            <w:tcW w:w="11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4"/>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500" w:type="dxa"/>
            <w:vAlign w:val="bottom"/>
            <w:gridSpan w:val="2"/>
          </w:tcPr>
          <w:p>
            <w:pPr>
              <w:jc w:val="right"/>
              <w:spacing w:after="0" w:line="202" w:lineRule="exact"/>
              <w:rPr>
                <w:rFonts w:ascii="Arial" w:cs="Arial" w:eastAsia="Arial" w:hAnsi="Arial"/>
                <w:sz w:val="18"/>
                <w:szCs w:val="18"/>
                <w:color w:val="0000EE"/>
              </w:rPr>
            </w:pPr>
            <w:hyperlink r:id="rId420">
              <w:r>
                <w:rPr>
                  <w:rFonts w:ascii="Arial" w:cs="Arial" w:eastAsia="Arial" w:hAnsi="Arial"/>
                  <w:sz w:val="18"/>
                  <w:szCs w:val="18"/>
                  <w:color w:val="0000EE"/>
                </w:rPr>
                <w:t>1.1**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gridSpan w:val="32"/>
          </w:tcPr>
          <w:p>
            <w:pPr>
              <w:spacing w:after="0" w:line="202" w:lineRule="exact"/>
              <w:rPr>
                <w:rFonts w:ascii="Arial" w:cs="Arial" w:eastAsia="Arial" w:hAnsi="Arial"/>
                <w:sz w:val="18"/>
                <w:szCs w:val="18"/>
                <w:color w:val="0000EE"/>
              </w:rPr>
            </w:pPr>
            <w:hyperlink r:id="rId420">
              <w:r>
                <w:rPr>
                  <w:rFonts w:ascii="Arial" w:cs="Arial" w:eastAsia="Arial" w:hAnsi="Arial"/>
                  <w:sz w:val="18"/>
                  <w:szCs w:val="18"/>
                  <w:color w:val="0000EE"/>
                </w:rPr>
                <w:t>Form of Underwriting Agreement.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rPr>
            </w:pPr>
            <w:hyperlink r:id="rId421">
              <w:r>
                <w:rPr>
                  <w:rFonts w:ascii="Arial" w:cs="Arial" w:eastAsia="Arial" w:hAnsi="Arial"/>
                  <w:sz w:val="18"/>
                  <w:szCs w:val="18"/>
                  <w:color w:val="0000EE"/>
                </w:rPr>
                <w:t>3.1**</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rPr>
            </w:pPr>
            <w:hyperlink r:id="rId421">
              <w:r>
                <w:rPr>
                  <w:rFonts w:ascii="Arial" w:cs="Arial" w:eastAsia="Arial" w:hAnsi="Arial"/>
                  <w:sz w:val="18"/>
                  <w:szCs w:val="18"/>
                  <w:color w:val="0000EE"/>
                </w:rPr>
                <w:t>Fifth Amended and Restated Articles of Association of the Registrant (currently in effect).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2">
              <w:r>
                <w:rPr>
                  <w:rFonts w:ascii="Arial" w:cs="Arial" w:eastAsia="Arial" w:hAnsi="Arial"/>
                  <w:sz w:val="18"/>
                  <w:szCs w:val="18"/>
                  <w:color w:val="0000EE"/>
                </w:rPr>
                <w:t>3.2**</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60" w:type="dxa"/>
            <w:vAlign w:val="bottom"/>
            <w:tcBorders>
              <w:bottom w:val="single" w:sz="8" w:color="0000EE"/>
            </w:tcBorders>
            <w:gridSpan w:val="23"/>
          </w:tcPr>
          <w:p>
            <w:pPr>
              <w:spacing w:after="0"/>
              <w:rPr>
                <w:rFonts w:ascii="Arial" w:cs="Arial" w:eastAsia="Arial" w:hAnsi="Arial"/>
                <w:sz w:val="18"/>
                <w:szCs w:val="18"/>
                <w:color w:val="0000EE"/>
                <w:w w:val="91"/>
              </w:rPr>
            </w:pPr>
            <w:hyperlink r:id="rId422">
              <w:r>
                <w:rPr>
                  <w:rFonts w:ascii="Arial" w:cs="Arial" w:eastAsia="Arial" w:hAnsi="Arial"/>
                  <w:sz w:val="18"/>
                  <w:szCs w:val="18"/>
                  <w:color w:val="0000EE"/>
                  <w:w w:val="91"/>
                </w:rPr>
                <w:t>Form of Sixth Amended and Restated Articles of Association of the Registrant (to be effective upon the closing of this offering).</w:t>
              </w:r>
            </w:hyperlink>
          </w:p>
        </w:tc>
        <w:tc>
          <w:tcPr>
            <w:tcW w:w="760" w:type="dxa"/>
            <w:vAlign w:val="bottom"/>
            <w:gridSpan w:val="9"/>
          </w:tcPr>
          <w:p>
            <w:pPr>
              <w:spacing w:after="0"/>
              <w:rPr>
                <w:sz w:val="18"/>
                <w:szCs w:val="18"/>
                <w:color w:val="auto"/>
              </w:rPr>
            </w:pPr>
          </w:p>
        </w:tc>
      </w:tr>
      <w:tr>
        <w:trPr>
          <w:trHeight w:val="237"/>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3">
              <w:r>
                <w:rPr>
                  <w:rFonts w:ascii="Arial" w:cs="Arial" w:eastAsia="Arial" w:hAnsi="Arial"/>
                  <w:sz w:val="18"/>
                  <w:szCs w:val="18"/>
                  <w:color w:val="0000EE"/>
                </w:rPr>
                <w:t>4.1**</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tcBorders>
              <w:bottom w:val="single" w:sz="8" w:color="0000EE"/>
            </w:tcBorders>
            <w:gridSpan w:val="7"/>
          </w:tcPr>
          <w:p>
            <w:pPr>
              <w:spacing w:after="0"/>
              <w:rPr>
                <w:rFonts w:ascii="Arial" w:cs="Arial" w:eastAsia="Arial" w:hAnsi="Arial"/>
                <w:sz w:val="18"/>
                <w:szCs w:val="18"/>
                <w:color w:val="0000EE"/>
                <w:w w:val="90"/>
              </w:rPr>
            </w:pPr>
            <w:hyperlink r:id="rId423">
              <w:r>
                <w:rPr>
                  <w:rFonts w:ascii="Arial" w:cs="Arial" w:eastAsia="Arial" w:hAnsi="Arial"/>
                  <w:sz w:val="18"/>
                  <w:szCs w:val="18"/>
                  <w:color w:val="0000EE"/>
                  <w:w w:val="90"/>
                </w:rPr>
                <w:t>Specimen Form of Ordinary Share Certificate.</w:t>
              </w:r>
            </w:hyperlink>
          </w:p>
        </w:tc>
        <w:tc>
          <w:tcPr>
            <w:tcW w:w="6680" w:type="dxa"/>
            <w:vAlign w:val="bottom"/>
            <w:gridSpan w:val="25"/>
          </w:tcPr>
          <w:p>
            <w:pPr>
              <w:spacing w:after="0"/>
              <w:rPr>
                <w:sz w:val="20"/>
                <w:szCs w:val="20"/>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rPr>
            </w:pPr>
            <w:hyperlink r:id="rId424">
              <w:r>
                <w:rPr>
                  <w:rFonts w:ascii="Arial" w:cs="Arial" w:eastAsia="Arial" w:hAnsi="Arial"/>
                  <w:sz w:val="18"/>
                  <w:szCs w:val="18"/>
                  <w:color w:val="0000EE"/>
                </w:rPr>
                <w:t>4.2**</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rPr>
            </w:pPr>
            <w:hyperlink r:id="rId424">
              <w:r>
                <w:rPr>
                  <w:rFonts w:ascii="Arial" w:cs="Arial" w:eastAsia="Arial" w:hAnsi="Arial"/>
                  <w:sz w:val="18"/>
                  <w:szCs w:val="18"/>
                  <w:color w:val="0000EE"/>
                </w:rPr>
                <w:t>Form of Warrant issued by the Registrant pursuant to this offering.</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5">
              <w:r>
                <w:rPr>
                  <w:rFonts w:ascii="Arial" w:cs="Arial" w:eastAsia="Arial" w:hAnsi="Arial"/>
                  <w:sz w:val="18"/>
                  <w:szCs w:val="18"/>
                  <w:color w:val="0000EE"/>
                </w:rPr>
                <w:t>4.3**</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80" w:type="dxa"/>
            <w:vAlign w:val="bottom"/>
            <w:tcBorders>
              <w:bottom w:val="single" w:sz="8" w:color="0000EE"/>
            </w:tcBorders>
            <w:gridSpan w:val="12"/>
          </w:tcPr>
          <w:p>
            <w:pPr>
              <w:spacing w:after="0"/>
              <w:rPr>
                <w:rFonts w:ascii="Arial" w:cs="Arial" w:eastAsia="Arial" w:hAnsi="Arial"/>
                <w:sz w:val="18"/>
                <w:szCs w:val="18"/>
                <w:color w:val="0000EE"/>
                <w:w w:val="92"/>
              </w:rPr>
            </w:pPr>
            <w:hyperlink r:id="rId425">
              <w:r>
                <w:rPr>
                  <w:rFonts w:ascii="Arial" w:cs="Arial" w:eastAsia="Arial" w:hAnsi="Arial"/>
                  <w:sz w:val="18"/>
                  <w:szCs w:val="18"/>
                  <w:color w:val="0000EE"/>
                  <w:w w:val="92"/>
                </w:rPr>
                <w:t>Form of Underwriter Warrant issued by the Registrant to Maxim Group LLC.</w:t>
              </w:r>
            </w:hyperlink>
          </w:p>
        </w:tc>
        <w:tc>
          <w:tcPr>
            <w:tcW w:w="4440" w:type="dxa"/>
            <w:vAlign w:val="bottom"/>
            <w:gridSpan w:val="20"/>
          </w:tcPr>
          <w:p>
            <w:pPr>
              <w:spacing w:after="0"/>
              <w:rPr>
                <w:sz w:val="19"/>
                <w:szCs w:val="19"/>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6">
              <w:r>
                <w:rPr>
                  <w:rFonts w:ascii="Arial" w:cs="Arial" w:eastAsia="Arial" w:hAnsi="Arial"/>
                  <w:sz w:val="18"/>
                  <w:szCs w:val="18"/>
                  <w:color w:val="0000EE"/>
                </w:rPr>
                <w:t>4.4**</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Borders>
              <w:bottom w:val="single" w:sz="8" w:color="0000EE"/>
            </w:tcBorders>
            <w:gridSpan w:val="20"/>
          </w:tcPr>
          <w:p>
            <w:pPr>
              <w:spacing w:after="0"/>
              <w:rPr>
                <w:rFonts w:ascii="Arial" w:cs="Arial" w:eastAsia="Arial" w:hAnsi="Arial"/>
                <w:sz w:val="18"/>
                <w:szCs w:val="18"/>
                <w:color w:val="0000EE"/>
                <w:w w:val="89"/>
              </w:rPr>
            </w:pPr>
            <w:hyperlink r:id="rId426">
              <w:r>
                <w:rPr>
                  <w:rFonts w:ascii="Arial" w:cs="Arial" w:eastAsia="Arial" w:hAnsi="Arial"/>
                  <w:sz w:val="18"/>
                  <w:szCs w:val="18"/>
                  <w:color w:val="0000EE"/>
                  <w:w w:val="89"/>
                </w:rPr>
                <w:t>Form of Warrant issued by the Registrant to Centillion Fund on each of January 29, 2014 and January 21, 2015.</w:t>
              </w:r>
            </w:hyperlink>
          </w:p>
        </w:tc>
        <w:tc>
          <w:tcPr>
            <w:tcW w:w="1980" w:type="dxa"/>
            <w:vAlign w:val="bottom"/>
            <w:gridSpan w:val="12"/>
          </w:tcPr>
          <w:p>
            <w:pPr>
              <w:spacing w:after="0"/>
              <w:rPr>
                <w:sz w:val="18"/>
                <w:szCs w:val="18"/>
                <w:color w:val="auto"/>
              </w:rPr>
            </w:pPr>
          </w:p>
        </w:tc>
      </w:tr>
      <w:tr>
        <w:trPr>
          <w:trHeight w:val="237"/>
        </w:trPr>
        <w:tc>
          <w:tcPr>
            <w:tcW w:w="500" w:type="dxa"/>
            <w:vAlign w:val="bottom"/>
            <w:gridSpan w:val="2"/>
          </w:tcPr>
          <w:p>
            <w:pPr>
              <w:jc w:val="right"/>
              <w:spacing w:after="0"/>
              <w:rPr>
                <w:rFonts w:ascii="Arial" w:cs="Arial" w:eastAsia="Arial" w:hAnsi="Arial"/>
                <w:sz w:val="18"/>
                <w:szCs w:val="18"/>
                <w:color w:val="0000EE"/>
              </w:rPr>
            </w:pPr>
            <w:hyperlink r:id="rId427">
              <w:r>
                <w:rPr>
                  <w:rFonts w:ascii="Arial" w:cs="Arial" w:eastAsia="Arial" w:hAnsi="Arial"/>
                  <w:sz w:val="18"/>
                  <w:szCs w:val="18"/>
                  <w:color w:val="0000EE"/>
                </w:rPr>
                <w:t>4.5**</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20" w:type="dxa"/>
            <w:vAlign w:val="bottom"/>
            <w:gridSpan w:val="32"/>
          </w:tcPr>
          <w:p>
            <w:pPr>
              <w:spacing w:after="0"/>
              <w:rPr>
                <w:rFonts w:ascii="Arial" w:cs="Arial" w:eastAsia="Arial" w:hAnsi="Arial"/>
                <w:sz w:val="18"/>
                <w:szCs w:val="18"/>
                <w:color w:val="0000EE"/>
              </w:rPr>
            </w:pPr>
            <w:hyperlink r:id="rId427">
              <w:r>
                <w:rPr>
                  <w:rFonts w:ascii="Arial" w:cs="Arial" w:eastAsia="Arial" w:hAnsi="Arial"/>
                  <w:sz w:val="18"/>
                  <w:szCs w:val="18"/>
                  <w:color w:val="0000EE"/>
                </w:rPr>
                <w:t>Form of additional Warrant issued by the Registrant to Centillion Fund on January 21, 2015.</w:t>
              </w:r>
            </w:hyperlink>
          </w:p>
        </w:tc>
      </w:tr>
      <w:tr>
        <w:trPr>
          <w:trHeight w:val="223"/>
        </w:trPr>
        <w:tc>
          <w:tcPr>
            <w:tcW w:w="500" w:type="dxa"/>
            <w:vAlign w:val="bottom"/>
            <w:tcBorders>
              <w:top w:val="single" w:sz="8" w:color="0000EE"/>
            </w:tcBorders>
            <w:gridSpan w:val="2"/>
          </w:tcPr>
          <w:p>
            <w:pPr>
              <w:jc w:val="right"/>
              <w:spacing w:after="0"/>
              <w:rPr>
                <w:rFonts w:ascii="Arial" w:cs="Arial" w:eastAsia="Arial" w:hAnsi="Arial"/>
                <w:sz w:val="18"/>
                <w:szCs w:val="18"/>
                <w:color w:val="0000EE"/>
              </w:rPr>
            </w:pPr>
            <w:hyperlink r:id="rId426">
              <w:r>
                <w:rPr>
                  <w:rFonts w:ascii="Arial" w:cs="Arial" w:eastAsia="Arial" w:hAnsi="Arial"/>
                  <w:sz w:val="18"/>
                  <w:szCs w:val="18"/>
                  <w:color w:val="0000EE"/>
                </w:rPr>
                <w:t>4.6**</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tcBorders>
              <w:top w:val="single" w:sz="8" w:color="0000EE"/>
            </w:tcBorders>
            <w:gridSpan w:val="16"/>
          </w:tcPr>
          <w:p>
            <w:pPr>
              <w:spacing w:after="0"/>
              <w:rPr>
                <w:rFonts w:ascii="Arial" w:cs="Arial" w:eastAsia="Arial" w:hAnsi="Arial"/>
                <w:sz w:val="18"/>
                <w:szCs w:val="18"/>
                <w:color w:val="0000EE"/>
              </w:rPr>
            </w:pPr>
            <w:hyperlink r:id="rId426">
              <w:r>
                <w:rPr>
                  <w:rFonts w:ascii="Arial" w:cs="Arial" w:eastAsia="Arial" w:hAnsi="Arial"/>
                  <w:sz w:val="18"/>
                  <w:szCs w:val="18"/>
                  <w:color w:val="0000EE"/>
                </w:rPr>
                <w:t>Form of Warrant issued by the Registrant to the lenders on June 24, 2016.</w:t>
              </w:r>
            </w:hyperlink>
          </w:p>
        </w:tc>
        <w:tc>
          <w:tcPr>
            <w:tcW w:w="3380" w:type="dxa"/>
            <w:vAlign w:val="bottom"/>
            <w:gridSpan w:val="16"/>
          </w:tcPr>
          <w:p>
            <w:pPr>
              <w:spacing w:after="0"/>
              <w:rPr>
                <w:sz w:val="19"/>
                <w:szCs w:val="19"/>
                <w:color w:val="auto"/>
              </w:rPr>
            </w:pPr>
          </w:p>
        </w:tc>
      </w:tr>
      <w:tr>
        <w:trPr>
          <w:trHeight w:val="223"/>
        </w:trPr>
        <w:tc>
          <w:tcPr>
            <w:tcW w:w="500" w:type="dxa"/>
            <w:vAlign w:val="bottom"/>
            <w:tcBorders>
              <w:top w:val="single" w:sz="8" w:color="0000EE"/>
            </w:tcBorders>
            <w:gridSpan w:val="2"/>
          </w:tcPr>
          <w:p>
            <w:pPr>
              <w:jc w:val="right"/>
              <w:spacing w:after="0"/>
              <w:rPr>
                <w:rFonts w:ascii="Arial" w:cs="Arial" w:eastAsia="Arial" w:hAnsi="Arial"/>
                <w:sz w:val="18"/>
                <w:szCs w:val="18"/>
                <w:color w:val="0000EE"/>
              </w:rPr>
            </w:pPr>
            <w:hyperlink r:id="rId426">
              <w:r>
                <w:rPr>
                  <w:rFonts w:ascii="Arial" w:cs="Arial" w:eastAsia="Arial" w:hAnsi="Arial"/>
                  <w:sz w:val="18"/>
                  <w:szCs w:val="18"/>
                  <w:color w:val="0000EE"/>
                </w:rPr>
                <w:t>4.7**</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00" w:type="dxa"/>
            <w:vAlign w:val="bottom"/>
            <w:tcBorders>
              <w:top w:val="single" w:sz="8" w:color="0000EE"/>
            </w:tcBorders>
            <w:gridSpan w:val="11"/>
          </w:tcPr>
          <w:p>
            <w:pPr>
              <w:spacing w:after="0"/>
              <w:rPr>
                <w:rFonts w:ascii="Arial" w:cs="Arial" w:eastAsia="Arial" w:hAnsi="Arial"/>
                <w:sz w:val="18"/>
                <w:szCs w:val="18"/>
                <w:color w:val="0000EE"/>
              </w:rPr>
            </w:pPr>
            <w:hyperlink r:id="rId426">
              <w:r>
                <w:rPr>
                  <w:rFonts w:ascii="Arial" w:cs="Arial" w:eastAsia="Arial" w:hAnsi="Arial"/>
                  <w:sz w:val="18"/>
                  <w:szCs w:val="18"/>
                  <w:color w:val="0000EE"/>
                </w:rPr>
                <w:t>Form of Warrant issued by the Registrant to GP Nurmenkari Inc.</w:t>
              </w:r>
            </w:hyperlink>
          </w:p>
        </w:tc>
        <w:tc>
          <w:tcPr>
            <w:tcW w:w="4720" w:type="dxa"/>
            <w:vAlign w:val="bottom"/>
            <w:gridSpan w:val="21"/>
          </w:tcPr>
          <w:p>
            <w:pPr>
              <w:spacing w:after="0"/>
              <w:rPr>
                <w:sz w:val="19"/>
                <w:szCs w:val="19"/>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gridSpan w:val="2"/>
          </w:tcPr>
          <w:p>
            <w:pPr>
              <w:jc w:val="right"/>
              <w:spacing w:after="0"/>
              <w:rPr>
                <w:rFonts w:ascii="Arial" w:cs="Arial" w:eastAsia="Arial" w:hAnsi="Arial"/>
                <w:sz w:val="18"/>
                <w:szCs w:val="18"/>
                <w:color w:val="0000EE"/>
              </w:rPr>
            </w:pPr>
            <w:hyperlink r:id="rId428">
              <w:r>
                <w:rPr>
                  <w:rFonts w:ascii="Arial" w:cs="Arial" w:eastAsia="Arial" w:hAnsi="Arial"/>
                  <w:sz w:val="18"/>
                  <w:szCs w:val="18"/>
                  <w:color w:val="0000EE"/>
                </w:rPr>
                <w:t>5.1**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20" w:type="dxa"/>
            <w:vAlign w:val="bottom"/>
            <w:gridSpan w:val="32"/>
          </w:tcPr>
          <w:p>
            <w:pPr>
              <w:spacing w:after="0"/>
              <w:rPr>
                <w:rFonts w:ascii="Arial" w:cs="Arial" w:eastAsia="Arial" w:hAnsi="Arial"/>
                <w:sz w:val="18"/>
                <w:szCs w:val="18"/>
                <w:color w:val="0000EE"/>
              </w:rPr>
            </w:pPr>
            <w:hyperlink r:id="rId428">
              <w:r>
                <w:rPr>
                  <w:rFonts w:ascii="Arial" w:cs="Arial" w:eastAsia="Arial" w:hAnsi="Arial"/>
                  <w:sz w:val="18"/>
                  <w:szCs w:val="18"/>
                  <w:color w:val="0000EE"/>
                </w:rPr>
                <w:t>Opinion of Herzog Fox &amp; Neeman, Israeli counsel to the Registrant, as to the validity of the ordinary shares and warrants.</w:t>
              </w:r>
            </w:hyperlink>
          </w:p>
        </w:tc>
      </w:tr>
      <w:tr>
        <w:trPr>
          <w:trHeight w:val="223"/>
        </w:trPr>
        <w:tc>
          <w:tcPr>
            <w:tcW w:w="32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rPr>
              <w:t>5.2</w:t>
            </w:r>
          </w:p>
        </w:tc>
        <w:tc>
          <w:tcPr>
            <w:tcW w:w="1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8"/>
                <w:szCs w:val="18"/>
                <w:color w:val="0000EE"/>
                <w:w w:val="91"/>
              </w:rPr>
              <w:t>Opinion of Davis Polk &amp; Wardwell LLP, U.S. counsel to the Registrant, with respect to the warrants.</w:t>
            </w:r>
          </w:p>
        </w:tc>
        <w:tc>
          <w:tcPr>
            <w:tcW w:w="1520" w:type="dxa"/>
            <w:vAlign w:val="bottom"/>
            <w:tcBorders>
              <w:top w:val="single" w:sz="8" w:color="0000EE"/>
            </w:tcBorders>
            <w:gridSpan w:val="3"/>
          </w:tcPr>
          <w:p>
            <w:pPr>
              <w:spacing w:after="0"/>
              <w:rPr>
                <w:sz w:val="19"/>
                <w:szCs w:val="19"/>
                <w:color w:val="auto"/>
              </w:rPr>
            </w:pPr>
          </w:p>
        </w:tc>
        <w:tc>
          <w:tcPr>
            <w:tcW w:w="1240" w:type="dxa"/>
            <w:vAlign w:val="bottom"/>
            <w:gridSpan w:val="10"/>
          </w:tcPr>
          <w:p>
            <w:pPr>
              <w:spacing w:after="0"/>
              <w:rPr>
                <w:sz w:val="19"/>
                <w:szCs w:val="19"/>
                <w:color w:val="auto"/>
              </w:rPr>
            </w:pPr>
          </w:p>
        </w:tc>
      </w:tr>
      <w:tr>
        <w:trPr>
          <w:trHeight w:val="237"/>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rPr>
            </w:pPr>
            <w:hyperlink r:id="rId429">
              <w:r>
                <w:rPr>
                  <w:rFonts w:ascii="Arial" w:cs="Arial" w:eastAsia="Arial" w:hAnsi="Arial"/>
                  <w:sz w:val="18"/>
                  <w:szCs w:val="18"/>
                  <w:color w:val="0000EE"/>
                </w:rPr>
                <w:t>8.1**</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tcBorders>
              <w:bottom w:val="single" w:sz="8" w:color="0000EE"/>
            </w:tcBorders>
            <w:gridSpan w:val="8"/>
          </w:tcPr>
          <w:p>
            <w:pPr>
              <w:spacing w:after="0"/>
              <w:rPr>
                <w:rFonts w:ascii="Arial" w:cs="Arial" w:eastAsia="Arial" w:hAnsi="Arial"/>
                <w:sz w:val="18"/>
                <w:szCs w:val="18"/>
                <w:color w:val="0000EE"/>
                <w:w w:val="92"/>
              </w:rPr>
            </w:pPr>
            <w:hyperlink r:id="rId429">
              <w:r>
                <w:rPr>
                  <w:rFonts w:ascii="Arial" w:cs="Arial" w:eastAsia="Arial" w:hAnsi="Arial"/>
                  <w:sz w:val="18"/>
                  <w:szCs w:val="18"/>
                  <w:color w:val="0000EE"/>
                  <w:w w:val="92"/>
                </w:rPr>
                <w:t>Opinion of Davis Polk &amp; Wardwell LLP as to U.S. tax matters.</w:t>
              </w:r>
            </w:hyperlink>
          </w:p>
        </w:tc>
        <w:tc>
          <w:tcPr>
            <w:tcW w:w="5480" w:type="dxa"/>
            <w:vAlign w:val="bottom"/>
            <w:gridSpan w:val="24"/>
          </w:tcPr>
          <w:p>
            <w:pPr>
              <w:spacing w:after="0"/>
              <w:rPr>
                <w:sz w:val="20"/>
                <w:szCs w:val="20"/>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0">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1**</w:t>
              </w:r>
            </w:hyperlink>
          </w:p>
        </w:tc>
        <w:tc>
          <w:tcPr>
            <w:tcW w:w="40" w:type="dxa"/>
            <w:vAlign w:val="bottom"/>
            <w:tcBorders>
              <w:bottom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Borders>
              <w:bottom w:val="single" w:sz="8" w:color="0000EE"/>
            </w:tcBorders>
            <w:gridSpan w:val="18"/>
          </w:tcPr>
          <w:p>
            <w:pPr>
              <w:spacing w:after="0"/>
              <w:rPr>
                <w:rFonts w:ascii="Arial" w:cs="Arial" w:eastAsia="Arial" w:hAnsi="Arial"/>
                <w:sz w:val="18"/>
                <w:szCs w:val="18"/>
                <w:color w:val="0000EE"/>
                <w:w w:val="89"/>
              </w:rPr>
            </w:pPr>
            <w:hyperlink r:id="rId430">
              <w:r>
                <w:rPr>
                  <w:rFonts w:ascii="Arial" w:cs="Arial" w:eastAsia="Arial" w:hAnsi="Arial"/>
                  <w:sz w:val="18"/>
                  <w:szCs w:val="18"/>
                  <w:color w:val="0000EE"/>
                  <w:w w:val="89"/>
                </w:rPr>
                <w:t>Patent Transfer Agreement, dated as of February 22, 2011, between the Registrant and Oramed Ltd.</w:t>
              </w:r>
            </w:hyperlink>
          </w:p>
        </w:tc>
        <w:tc>
          <w:tcPr>
            <w:tcW w:w="2840" w:type="dxa"/>
            <w:vAlign w:val="bottom"/>
            <w:gridSpan w:val="14"/>
          </w:tcPr>
          <w:p>
            <w:pPr>
              <w:spacing w:after="0"/>
              <w:rPr>
                <w:sz w:val="18"/>
                <w:szCs w:val="18"/>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w w:val="97"/>
              </w:rPr>
            </w:pPr>
            <w:hyperlink r:id="rId431">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2**</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w w:val="96"/>
              </w:rPr>
            </w:pPr>
            <w:hyperlink r:id="rId431">
              <w:r>
                <w:rPr>
                  <w:rFonts w:ascii="Arial" w:cs="Arial" w:eastAsia="Arial" w:hAnsi="Arial"/>
                  <w:sz w:val="18"/>
                  <w:szCs w:val="18"/>
                  <w:color w:val="0000EE"/>
                  <w:w w:val="96"/>
                </w:rPr>
                <w:t>Convertible Financing Agreement, dated as of November 8, 2012, among the Registrant, D.N.A Biomedical Solutions, Ltd. and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431">
              <w:r>
                <w:rPr>
                  <w:rFonts w:ascii="Arial" w:cs="Arial" w:eastAsia="Arial" w:hAnsi="Arial"/>
                  <w:sz w:val="18"/>
                  <w:szCs w:val="18"/>
                  <w:color w:val="0000EE"/>
                  <w:w w:val="87"/>
                </w:rPr>
                <w:t>lenders thereto.</w:t>
              </w:r>
            </w:hyperlink>
          </w:p>
        </w:tc>
        <w:tc>
          <w:tcPr>
            <w:tcW w:w="8340" w:type="dxa"/>
            <w:vAlign w:val="bottom"/>
            <w:tcBorders>
              <w:top w:val="single" w:sz="8" w:color="0000EE"/>
            </w:tcBorders>
            <w:gridSpan w:val="22"/>
          </w:tcPr>
          <w:p>
            <w:pPr>
              <w:spacing w:after="0"/>
              <w:rPr>
                <w:sz w:val="17"/>
                <w:szCs w:val="17"/>
                <w:color w:val="auto"/>
              </w:rPr>
            </w:pPr>
          </w:p>
        </w:tc>
        <w:tc>
          <w:tcPr>
            <w:tcW w:w="560" w:type="dxa"/>
            <w:vAlign w:val="bottom"/>
            <w:gridSpan w:val="7"/>
          </w:tcPr>
          <w:p>
            <w:pPr>
              <w:spacing w:after="0"/>
              <w:rPr>
                <w:sz w:val="17"/>
                <w:szCs w:val="17"/>
                <w:color w:val="auto"/>
              </w:rPr>
            </w:pPr>
          </w:p>
        </w:tc>
      </w:tr>
      <w:tr>
        <w:trPr>
          <w:trHeight w:val="223"/>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2">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3**</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540" w:type="dxa"/>
            <w:vAlign w:val="bottom"/>
            <w:tcBorders>
              <w:bottom w:val="single" w:sz="8" w:color="0000EE"/>
            </w:tcBorders>
            <w:gridSpan w:val="26"/>
          </w:tcPr>
          <w:p>
            <w:pPr>
              <w:spacing w:after="0"/>
              <w:rPr>
                <w:rFonts w:ascii="Arial" w:cs="Arial" w:eastAsia="Arial" w:hAnsi="Arial"/>
                <w:sz w:val="18"/>
                <w:szCs w:val="18"/>
                <w:color w:val="0000EE"/>
                <w:w w:val="90"/>
              </w:rPr>
            </w:pPr>
            <w:hyperlink r:id="rId432">
              <w:r>
                <w:rPr>
                  <w:rFonts w:ascii="Arial" w:cs="Arial" w:eastAsia="Arial" w:hAnsi="Arial"/>
                  <w:sz w:val="18"/>
                  <w:szCs w:val="18"/>
                  <w:color w:val="0000EE"/>
                  <w:w w:val="90"/>
                </w:rPr>
                <w:t>Convertible Financing Agreement, dated as of December 31, 2012, among the Registrant, D.N.A Biomedical Solutions, Ltd. and the</w:t>
              </w:r>
            </w:hyperlink>
          </w:p>
        </w:tc>
        <w:tc>
          <w:tcPr>
            <w:tcW w:w="480" w:type="dxa"/>
            <w:vAlign w:val="bottom"/>
            <w:gridSpan w:val="6"/>
          </w:tcPr>
          <w:p>
            <w:pPr>
              <w:spacing w:after="0"/>
              <w:rPr>
                <w:sz w:val="19"/>
                <w:szCs w:val="19"/>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gridSpan w:val="32"/>
          </w:tcPr>
          <w:p>
            <w:pPr>
              <w:spacing w:after="0" w:line="196" w:lineRule="exact"/>
              <w:rPr>
                <w:rFonts w:ascii="Arial" w:cs="Arial" w:eastAsia="Arial" w:hAnsi="Arial"/>
                <w:sz w:val="18"/>
                <w:szCs w:val="18"/>
                <w:color w:val="0000EE"/>
              </w:rPr>
            </w:pPr>
            <w:hyperlink r:id="rId432">
              <w:r>
                <w:rPr>
                  <w:rFonts w:ascii="Arial" w:cs="Arial" w:eastAsia="Arial" w:hAnsi="Arial"/>
                  <w:sz w:val="18"/>
                  <w:szCs w:val="18"/>
                  <w:color w:val="0000EE"/>
                </w:rPr>
                <w:t>lenders thereto.</w:t>
              </w:r>
            </w:hyperlink>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3">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4**</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Borders>
              <w:bottom w:val="single" w:sz="8" w:color="0000EE"/>
            </w:tcBorders>
            <w:gridSpan w:val="6"/>
          </w:tcPr>
          <w:p>
            <w:pPr>
              <w:spacing w:after="0"/>
              <w:rPr>
                <w:rFonts w:ascii="Arial" w:cs="Arial" w:eastAsia="Arial" w:hAnsi="Arial"/>
                <w:sz w:val="18"/>
                <w:szCs w:val="18"/>
                <w:color w:val="0000EE"/>
                <w:w w:val="90"/>
              </w:rPr>
            </w:pPr>
            <w:hyperlink r:id="rId433">
              <w:r>
                <w:rPr>
                  <w:rFonts w:ascii="Arial" w:cs="Arial" w:eastAsia="Arial" w:hAnsi="Arial"/>
                  <w:sz w:val="18"/>
                  <w:szCs w:val="18"/>
                  <w:color w:val="0000EE"/>
                  <w:w w:val="90"/>
                </w:rPr>
                <w:t>The Entera Bio Ltd. Share Incentive Plan.</w:t>
              </w:r>
            </w:hyperlink>
          </w:p>
        </w:tc>
        <w:tc>
          <w:tcPr>
            <w:tcW w:w="7000" w:type="dxa"/>
            <w:vAlign w:val="bottom"/>
            <w:gridSpan w:val="26"/>
          </w:tcPr>
          <w:p>
            <w:pPr>
              <w:spacing w:after="0"/>
              <w:rPr>
                <w:sz w:val="20"/>
                <w:szCs w:val="20"/>
                <w:color w:val="auto"/>
              </w:rPr>
            </w:pPr>
          </w:p>
        </w:tc>
      </w:tr>
      <w:tr>
        <w:trPr>
          <w:trHeight w:val="210"/>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4">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5**</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Borders>
              <w:bottom w:val="single" w:sz="8" w:color="0000EE"/>
            </w:tcBorders>
            <w:gridSpan w:val="22"/>
          </w:tcPr>
          <w:p>
            <w:pPr>
              <w:spacing w:after="0"/>
              <w:rPr>
                <w:rFonts w:ascii="Arial" w:cs="Arial" w:eastAsia="Arial" w:hAnsi="Arial"/>
                <w:sz w:val="18"/>
                <w:szCs w:val="18"/>
                <w:color w:val="0000EE"/>
                <w:w w:val="89"/>
              </w:rPr>
            </w:pPr>
            <w:hyperlink r:id="rId434">
              <w:r>
                <w:rPr>
                  <w:rFonts w:ascii="Arial" w:cs="Arial" w:eastAsia="Arial" w:hAnsi="Arial"/>
                  <w:sz w:val="18"/>
                  <w:szCs w:val="18"/>
                  <w:color w:val="0000EE"/>
                  <w:w w:val="89"/>
                </w:rPr>
                <w:t>Series A Preferred Share Purchase Agreement, dated as of January 29, 2014, between the Registrant and Centillion Fund.</w:t>
              </w:r>
            </w:hyperlink>
          </w:p>
        </w:tc>
        <w:tc>
          <w:tcPr>
            <w:tcW w:w="1240" w:type="dxa"/>
            <w:vAlign w:val="bottom"/>
            <w:gridSpan w:val="10"/>
          </w:tcPr>
          <w:p>
            <w:pPr>
              <w:spacing w:after="0"/>
              <w:rPr>
                <w:sz w:val="18"/>
                <w:szCs w:val="18"/>
                <w:color w:val="auto"/>
              </w:rPr>
            </w:pPr>
          </w:p>
        </w:tc>
      </w:tr>
      <w:tr>
        <w:trPr>
          <w:trHeight w:val="223"/>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5">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6**</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0" w:type="dxa"/>
            <w:vAlign w:val="bottom"/>
            <w:tcBorders>
              <w:bottom w:val="single" w:sz="8" w:color="0000EE"/>
            </w:tcBorders>
            <w:gridSpan w:val="31"/>
          </w:tcPr>
          <w:p>
            <w:pPr>
              <w:spacing w:after="0"/>
              <w:rPr>
                <w:rFonts w:ascii="Arial" w:cs="Arial" w:eastAsia="Arial" w:hAnsi="Arial"/>
                <w:sz w:val="18"/>
                <w:szCs w:val="18"/>
                <w:color w:val="0000EE"/>
                <w:w w:val="89"/>
              </w:rPr>
            </w:pPr>
            <w:hyperlink r:id="rId435">
              <w:r>
                <w:rPr>
                  <w:rFonts w:ascii="Arial" w:cs="Arial" w:eastAsia="Arial" w:hAnsi="Arial"/>
                  <w:sz w:val="18"/>
                  <w:szCs w:val="18"/>
                  <w:color w:val="0000EE"/>
                  <w:w w:val="89"/>
                </w:rPr>
                <w:t>First Amendment to Series A Preferred Share Purchase Agreement, dated as of June 18, 2014, between the Registrant and Centillion Fund.</w:t>
              </w:r>
            </w:hyperlink>
          </w:p>
        </w:tc>
        <w:tc>
          <w:tcPr>
            <w:tcW w:w="20" w:type="dxa"/>
            <w:vAlign w:val="bottom"/>
          </w:tcPr>
          <w:p>
            <w:pPr>
              <w:spacing w:after="0"/>
              <w:rPr>
                <w:sz w:val="19"/>
                <w:szCs w:val="19"/>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w w:val="97"/>
              </w:rPr>
            </w:pPr>
            <w:hyperlink r:id="rId436">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7**</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w w:val="89"/>
              </w:rPr>
            </w:pPr>
            <w:hyperlink r:id="rId436">
              <w:r>
                <w:rPr>
                  <w:rFonts w:ascii="Arial" w:cs="Arial" w:eastAsia="Arial" w:hAnsi="Arial"/>
                  <w:sz w:val="18"/>
                  <w:szCs w:val="18"/>
                  <w:color w:val="0000EE"/>
                  <w:w w:val="89"/>
                </w:rPr>
                <w:t>Second Amendment to Series A Preferred Share Purchase Agreement, dated as of January 21, 2015, between the Registrant and Centillion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436">
              <w:r>
                <w:rPr>
                  <w:rFonts w:ascii="Arial" w:cs="Arial" w:eastAsia="Arial" w:hAnsi="Arial"/>
                  <w:sz w:val="18"/>
                  <w:szCs w:val="18"/>
                  <w:color w:val="0000EE"/>
                </w:rPr>
                <w:t>Fund.</w:t>
              </w:r>
            </w:hyperlink>
          </w:p>
        </w:tc>
        <w:tc>
          <w:tcPr>
            <w:tcW w:w="60" w:type="dxa"/>
            <w:vAlign w:val="bottom"/>
            <w:gridSpan w:val="2"/>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23"/>
        </w:trPr>
        <w:tc>
          <w:tcPr>
            <w:tcW w:w="500" w:type="dxa"/>
            <w:vAlign w:val="bottom"/>
            <w:gridSpan w:val="2"/>
          </w:tcPr>
          <w:p>
            <w:pPr>
              <w:jc w:val="right"/>
              <w:spacing w:after="0"/>
              <w:rPr>
                <w:rFonts w:ascii="Arial" w:cs="Arial" w:eastAsia="Arial" w:hAnsi="Arial"/>
                <w:sz w:val="18"/>
                <w:szCs w:val="18"/>
                <w:color w:val="0000EE"/>
                <w:w w:val="97"/>
              </w:rPr>
            </w:pPr>
            <w:hyperlink r:id="rId437">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8**</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w w:val="92"/>
              </w:rPr>
            </w:pPr>
            <w:hyperlink r:id="rId437">
              <w:r>
                <w:rPr>
                  <w:rFonts w:ascii="Arial" w:cs="Arial" w:eastAsia="Arial" w:hAnsi="Arial"/>
                  <w:sz w:val="18"/>
                  <w:szCs w:val="18"/>
                  <w:color w:val="0000EE"/>
                  <w:w w:val="92"/>
                </w:rPr>
                <w:t>Third Amendment to Series A Preferred Share Purchase Agreement, dated as of November 2015, between the Registrant and Centillion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437">
              <w:r>
                <w:rPr>
                  <w:rFonts w:ascii="Arial" w:cs="Arial" w:eastAsia="Arial" w:hAnsi="Arial"/>
                  <w:sz w:val="18"/>
                  <w:szCs w:val="18"/>
                  <w:color w:val="0000EE"/>
                </w:rPr>
                <w:t>Fund.</w:t>
              </w:r>
            </w:hyperlink>
          </w:p>
        </w:tc>
        <w:tc>
          <w:tcPr>
            <w:tcW w:w="260" w:type="dxa"/>
            <w:vAlign w:val="bottom"/>
            <w:gridSpan w:val="3"/>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23"/>
        </w:trPr>
        <w:tc>
          <w:tcPr>
            <w:tcW w:w="500" w:type="dxa"/>
            <w:vAlign w:val="bottom"/>
            <w:tcBorders>
              <w:bottom w:val="single" w:sz="8" w:color="0000EE"/>
            </w:tcBorders>
            <w:gridSpan w:val="2"/>
          </w:tcPr>
          <w:p>
            <w:pPr>
              <w:jc w:val="right"/>
              <w:spacing w:after="0"/>
              <w:rPr>
                <w:rFonts w:ascii="Arial" w:cs="Arial" w:eastAsia="Arial" w:hAnsi="Arial"/>
                <w:sz w:val="18"/>
                <w:szCs w:val="18"/>
                <w:color w:val="0000EE"/>
                <w:w w:val="97"/>
              </w:rPr>
            </w:pPr>
            <w:hyperlink r:id="rId438">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9**</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60" w:type="dxa"/>
            <w:vAlign w:val="bottom"/>
            <w:tcBorders>
              <w:bottom w:val="single" w:sz="8" w:color="0000EE"/>
            </w:tcBorders>
            <w:gridSpan w:val="27"/>
          </w:tcPr>
          <w:p>
            <w:pPr>
              <w:spacing w:after="0"/>
              <w:rPr>
                <w:rFonts w:ascii="Arial" w:cs="Arial" w:eastAsia="Arial" w:hAnsi="Arial"/>
                <w:sz w:val="18"/>
                <w:szCs w:val="18"/>
                <w:color w:val="0000EE"/>
                <w:w w:val="89"/>
              </w:rPr>
            </w:pPr>
            <w:hyperlink r:id="rId438">
              <w:r>
                <w:rPr>
                  <w:rFonts w:ascii="Arial" w:cs="Arial" w:eastAsia="Arial" w:hAnsi="Arial"/>
                  <w:sz w:val="18"/>
                  <w:szCs w:val="18"/>
                  <w:color w:val="0000EE"/>
                  <w:w w:val="89"/>
                </w:rPr>
                <w:t>Fourth Amendment to Series A Preferred Share Purchase Agreement, dated as of July 20, 2017, between the Registrant and Centillion</w:t>
              </w:r>
            </w:hyperlink>
          </w:p>
        </w:tc>
        <w:tc>
          <w:tcPr>
            <w:tcW w:w="360" w:type="dxa"/>
            <w:vAlign w:val="bottom"/>
            <w:gridSpan w:val="5"/>
          </w:tcPr>
          <w:p>
            <w:pPr>
              <w:spacing w:after="0"/>
              <w:rPr>
                <w:sz w:val="19"/>
                <w:szCs w:val="19"/>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gridSpan w:val="32"/>
          </w:tcPr>
          <w:p>
            <w:pPr>
              <w:spacing w:after="0" w:line="196" w:lineRule="exact"/>
              <w:rPr>
                <w:rFonts w:ascii="Arial" w:cs="Arial" w:eastAsia="Arial" w:hAnsi="Arial"/>
                <w:sz w:val="18"/>
                <w:szCs w:val="18"/>
                <w:color w:val="0000EE"/>
              </w:rPr>
            </w:pPr>
            <w:hyperlink r:id="rId438">
              <w:r>
                <w:rPr>
                  <w:rFonts w:ascii="Arial" w:cs="Arial" w:eastAsia="Arial" w:hAnsi="Arial"/>
                  <w:sz w:val="18"/>
                  <w:szCs w:val="18"/>
                  <w:color w:val="0000EE"/>
                </w:rPr>
                <w:t>Fund.</w:t>
              </w:r>
            </w:hyperlink>
          </w:p>
        </w:tc>
      </w:tr>
      <w:tr>
        <w:trPr>
          <w:trHeight w:val="20"/>
        </w:trPr>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23"/>
        </w:trPr>
        <w:tc>
          <w:tcPr>
            <w:tcW w:w="600" w:type="dxa"/>
            <w:vAlign w:val="bottom"/>
            <w:gridSpan w:val="5"/>
          </w:tcPr>
          <w:p>
            <w:pPr>
              <w:spacing w:after="0"/>
              <w:rPr>
                <w:rFonts w:ascii="Arial" w:cs="Arial" w:eastAsia="Arial" w:hAnsi="Arial"/>
                <w:sz w:val="18"/>
                <w:szCs w:val="18"/>
                <w:color w:val="0000EE"/>
                <w:w w:val="94"/>
              </w:rPr>
            </w:pPr>
            <w:hyperlink r:id="rId439">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10**</w:t>
              </w:r>
            </w:hyperlink>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w w:val="94"/>
              </w:rPr>
            </w:pPr>
            <w:hyperlink r:id="rId439">
              <w:r>
                <w:rPr>
                  <w:rFonts w:ascii="Arial" w:cs="Arial" w:eastAsia="Arial" w:hAnsi="Arial"/>
                  <w:sz w:val="18"/>
                  <w:szCs w:val="18"/>
                  <w:color w:val="0000EE"/>
                  <w:w w:val="94"/>
                </w:rPr>
                <w:t>Series B Preferred Share Purchase Agreement, dated as of October 4, 2017, October 25, 2017 and December 18, 2017, between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439">
              <w:r>
                <w:rPr>
                  <w:rFonts w:ascii="Arial" w:cs="Arial" w:eastAsia="Arial" w:hAnsi="Arial"/>
                  <w:sz w:val="18"/>
                  <w:szCs w:val="18"/>
                  <w:color w:val="0000EE"/>
                  <w:w w:val="88"/>
                </w:rPr>
                <w:t>Registrant and the other parties thereto.</w:t>
              </w:r>
            </w:hyperlink>
          </w:p>
        </w:tc>
        <w:tc>
          <w:tcPr>
            <w:tcW w:w="6600" w:type="dxa"/>
            <w:vAlign w:val="bottom"/>
            <w:tcBorders>
              <w:top w:val="single" w:sz="8" w:color="0000EE"/>
            </w:tcBorders>
            <w:gridSpan w:val="19"/>
          </w:tcPr>
          <w:p>
            <w:pPr>
              <w:spacing w:after="0"/>
              <w:rPr>
                <w:sz w:val="17"/>
                <w:szCs w:val="17"/>
                <w:color w:val="auto"/>
              </w:rPr>
            </w:pPr>
          </w:p>
        </w:tc>
        <w:tc>
          <w:tcPr>
            <w:tcW w:w="580" w:type="dxa"/>
            <w:vAlign w:val="bottom"/>
            <w:gridSpan w:val="8"/>
          </w:tcPr>
          <w:p>
            <w:pPr>
              <w:spacing w:after="0"/>
              <w:rPr>
                <w:sz w:val="17"/>
                <w:szCs w:val="17"/>
                <w:color w:val="auto"/>
              </w:rPr>
            </w:pPr>
          </w:p>
        </w:tc>
      </w:tr>
      <w:tr>
        <w:trPr>
          <w:trHeight w:val="223"/>
        </w:trPr>
        <w:tc>
          <w:tcPr>
            <w:tcW w:w="580" w:type="dxa"/>
            <w:vAlign w:val="bottom"/>
            <w:gridSpan w:val="4"/>
          </w:tcPr>
          <w:p>
            <w:pPr>
              <w:spacing w:after="0"/>
              <w:rPr>
                <w:rFonts w:ascii="Arial" w:cs="Arial" w:eastAsia="Arial" w:hAnsi="Arial"/>
                <w:sz w:val="18"/>
                <w:szCs w:val="18"/>
                <w:color w:val="0000EE"/>
                <w:w w:val="94"/>
              </w:rPr>
            </w:pPr>
            <w:hyperlink r:id="rId426">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11**</w:t>
              </w:r>
            </w:hyperlink>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w w:val="92"/>
              </w:rPr>
            </w:pPr>
            <w:hyperlink r:id="rId426">
              <w:r>
                <w:rPr>
                  <w:rFonts w:ascii="Arial" w:cs="Arial" w:eastAsia="Arial" w:hAnsi="Arial"/>
                  <w:sz w:val="18"/>
                  <w:szCs w:val="18"/>
                  <w:color w:val="0000EE"/>
                  <w:w w:val="92"/>
                </w:rPr>
                <w:t>Amended and Restated Investors’ Rights Agreement, dated as of October 4, 2017, between the Registrant and the other parties thereto.</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1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23"/>
        </w:trPr>
        <w:tc>
          <w:tcPr>
            <w:tcW w:w="600" w:type="dxa"/>
            <w:vAlign w:val="bottom"/>
            <w:gridSpan w:val="5"/>
          </w:tcPr>
          <w:p>
            <w:pPr>
              <w:spacing w:after="0"/>
              <w:rPr>
                <w:rFonts w:ascii="Arial" w:cs="Arial" w:eastAsia="Arial" w:hAnsi="Arial"/>
                <w:sz w:val="18"/>
                <w:szCs w:val="18"/>
                <w:color w:val="0000EE"/>
                <w:w w:val="94"/>
              </w:rPr>
            </w:pPr>
            <w:hyperlink r:id="rId440">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12**</w:t>
              </w:r>
            </w:hyperlink>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rPr>
            </w:pPr>
            <w:hyperlink r:id="rId440">
              <w:r>
                <w:rPr>
                  <w:rFonts w:ascii="Arial" w:cs="Arial" w:eastAsia="Arial" w:hAnsi="Arial"/>
                  <w:sz w:val="18"/>
                  <w:szCs w:val="18"/>
                  <w:color w:val="0000EE"/>
                </w:rPr>
                <w:t>Form of indemnification agreement between the Registrant and its directors and executive officers.</w:t>
              </w:r>
            </w:hyperlink>
          </w:p>
        </w:tc>
      </w:tr>
      <w:tr>
        <w:trPr>
          <w:trHeight w:val="20"/>
        </w:trPr>
        <w:tc>
          <w:tcPr>
            <w:tcW w:w="60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1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r>
      <w:tr>
        <w:trPr>
          <w:trHeight w:val="223"/>
        </w:trPr>
        <w:tc>
          <w:tcPr>
            <w:tcW w:w="600" w:type="dxa"/>
            <w:vAlign w:val="bottom"/>
            <w:tcBorders>
              <w:bottom w:val="single" w:sz="8" w:color="0000EE"/>
            </w:tcBorders>
            <w:gridSpan w:val="5"/>
          </w:tcPr>
          <w:p>
            <w:pPr>
              <w:spacing w:after="0"/>
              <w:rPr>
                <w:rFonts w:ascii="Arial" w:cs="Arial" w:eastAsia="Arial" w:hAnsi="Arial"/>
                <w:sz w:val="18"/>
                <w:szCs w:val="18"/>
                <w:color w:val="0000EE"/>
                <w:w w:val="94"/>
              </w:rPr>
            </w:pPr>
            <w:hyperlink r:id="rId441">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13**</w:t>
              </w:r>
            </w:hyperlink>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60" w:type="dxa"/>
            <w:vAlign w:val="bottom"/>
            <w:tcBorders>
              <w:bottom w:val="single" w:sz="8" w:color="0000EE"/>
            </w:tcBorders>
            <w:gridSpan w:val="21"/>
          </w:tcPr>
          <w:p>
            <w:pPr>
              <w:spacing w:after="0"/>
              <w:rPr>
                <w:rFonts w:ascii="Arial" w:cs="Arial" w:eastAsia="Arial" w:hAnsi="Arial"/>
                <w:sz w:val="18"/>
                <w:szCs w:val="18"/>
                <w:color w:val="0000EE"/>
                <w:w w:val="89"/>
              </w:rPr>
            </w:pPr>
            <w:hyperlink r:id="rId441">
              <w:r>
                <w:rPr>
                  <w:rFonts w:ascii="Arial" w:cs="Arial" w:eastAsia="Arial" w:hAnsi="Arial"/>
                  <w:sz w:val="18"/>
                  <w:szCs w:val="18"/>
                  <w:color w:val="0000EE"/>
                  <w:w w:val="89"/>
                </w:rPr>
                <w:t>Form of Convertible Financing Agreement, dated as of June 14, 2016, among the Registrant and the lenders thereto.</w:t>
              </w:r>
            </w:hyperlink>
          </w:p>
        </w:tc>
        <w:tc>
          <w:tcPr>
            <w:tcW w:w="1660" w:type="dxa"/>
            <w:vAlign w:val="bottom"/>
            <w:gridSpan w:val="11"/>
          </w:tcPr>
          <w:p>
            <w:pPr>
              <w:spacing w:after="0"/>
              <w:rPr>
                <w:sz w:val="19"/>
                <w:szCs w:val="19"/>
                <w:color w:val="auto"/>
              </w:rPr>
            </w:pPr>
          </w:p>
        </w:tc>
      </w:tr>
      <w:tr>
        <w:trPr>
          <w:trHeight w:val="237"/>
        </w:trPr>
        <w:tc>
          <w:tcPr>
            <w:tcW w:w="600" w:type="dxa"/>
            <w:vAlign w:val="bottom"/>
            <w:tcBorders>
              <w:bottom w:val="single" w:sz="8" w:color="0000EE"/>
            </w:tcBorders>
            <w:gridSpan w:val="5"/>
          </w:tcPr>
          <w:p>
            <w:pPr>
              <w:spacing w:after="0"/>
              <w:rPr>
                <w:rFonts w:ascii="Arial" w:cs="Arial" w:eastAsia="Arial" w:hAnsi="Arial"/>
                <w:sz w:val="18"/>
                <w:szCs w:val="18"/>
                <w:color w:val="0000EE"/>
                <w:w w:val="94"/>
              </w:rPr>
            </w:pPr>
            <w:hyperlink r:id="rId442">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14**</w:t>
              </w:r>
            </w:hyperlink>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tcBorders>
              <w:bottom w:val="single" w:sz="8" w:color="0000EE"/>
            </w:tcBorders>
            <w:gridSpan w:val="14"/>
          </w:tcPr>
          <w:p>
            <w:pPr>
              <w:spacing w:after="0"/>
              <w:rPr>
                <w:rFonts w:ascii="Arial" w:cs="Arial" w:eastAsia="Arial" w:hAnsi="Arial"/>
                <w:sz w:val="18"/>
                <w:szCs w:val="18"/>
                <w:color w:val="0000EE"/>
                <w:w w:val="89"/>
              </w:rPr>
            </w:pPr>
            <w:hyperlink r:id="rId442">
              <w:r>
                <w:rPr>
                  <w:rFonts w:ascii="Arial" w:cs="Arial" w:eastAsia="Arial" w:hAnsi="Arial"/>
                  <w:sz w:val="18"/>
                  <w:szCs w:val="18"/>
                  <w:color w:val="0000EE"/>
                  <w:w w:val="89"/>
                </w:rPr>
                <w:t>Service Agreement, dated April 6, 2017, between Roger Garceau and the Company.</w:t>
              </w:r>
            </w:hyperlink>
          </w:p>
        </w:tc>
        <w:tc>
          <w:tcPr>
            <w:tcW w:w="3980" w:type="dxa"/>
            <w:vAlign w:val="bottom"/>
            <w:gridSpan w:val="18"/>
          </w:tcPr>
          <w:p>
            <w:pPr>
              <w:spacing w:after="0"/>
              <w:rPr>
                <w:sz w:val="20"/>
                <w:szCs w:val="20"/>
                <w:color w:val="auto"/>
              </w:rPr>
            </w:pPr>
          </w:p>
        </w:tc>
      </w:tr>
      <w:tr>
        <w:trPr>
          <w:trHeight w:val="223"/>
        </w:trPr>
        <w:tc>
          <w:tcPr>
            <w:tcW w:w="600" w:type="dxa"/>
            <w:vAlign w:val="bottom"/>
            <w:gridSpan w:val="5"/>
          </w:tcPr>
          <w:p>
            <w:pPr>
              <w:spacing w:after="0"/>
              <w:rPr>
                <w:rFonts w:ascii="Arial" w:cs="Arial" w:eastAsia="Arial" w:hAnsi="Arial"/>
                <w:sz w:val="18"/>
                <w:szCs w:val="18"/>
                <w:color w:val="0000EE"/>
                <w:w w:val="94"/>
              </w:rPr>
            </w:pPr>
            <w:hyperlink r:id="rId426">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15**</w:t>
              </w:r>
            </w:hyperlink>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32"/>
          </w:tcPr>
          <w:p>
            <w:pPr>
              <w:spacing w:after="0"/>
              <w:rPr>
                <w:rFonts w:ascii="Arial" w:cs="Arial" w:eastAsia="Arial" w:hAnsi="Arial"/>
                <w:sz w:val="18"/>
                <w:szCs w:val="18"/>
                <w:color w:val="0000EE"/>
              </w:rPr>
            </w:pPr>
            <w:hyperlink r:id="rId426">
              <w:r>
                <w:rPr>
                  <w:rFonts w:ascii="Arial" w:cs="Arial" w:eastAsia="Arial" w:hAnsi="Arial"/>
                  <w:sz w:val="18"/>
                  <w:szCs w:val="18"/>
                  <w:color w:val="0000EE"/>
                </w:rPr>
                <w:t>Service Agreement, dated April 6, 2017, between Luke Beshar and the Company.</w:t>
              </w:r>
            </w:hyperlink>
          </w:p>
        </w:tc>
      </w:tr>
      <w:tr>
        <w:trPr>
          <w:trHeight w:val="20"/>
        </w:trPr>
        <w:tc>
          <w:tcPr>
            <w:tcW w:w="60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13"/>
            <w:shd w:val="clear" w:color="auto" w:fill="0000EE"/>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r>
      <w:tr>
        <w:trPr>
          <w:trHeight w:val="210"/>
        </w:trPr>
        <w:tc>
          <w:tcPr>
            <w:tcW w:w="600" w:type="dxa"/>
            <w:vAlign w:val="bottom"/>
            <w:gridSpan w:val="5"/>
          </w:tcPr>
          <w:p>
            <w:pPr>
              <w:spacing w:after="0"/>
              <w:rPr>
                <w:rFonts w:ascii="Arial" w:cs="Arial" w:eastAsia="Arial" w:hAnsi="Arial"/>
                <w:sz w:val="18"/>
                <w:szCs w:val="18"/>
                <w:color w:val="0000EE"/>
                <w:w w:val="94"/>
              </w:rPr>
            </w:pPr>
            <w:hyperlink r:id="rId444">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16**</w:t>
              </w:r>
            </w:hyperlink>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20" w:type="dxa"/>
            <w:vAlign w:val="bottom"/>
            <w:gridSpan w:val="32"/>
          </w:tcPr>
          <w:p>
            <w:pPr>
              <w:spacing w:after="0"/>
              <w:rPr>
                <w:rFonts w:ascii="Arial" w:cs="Arial" w:eastAsia="Arial" w:hAnsi="Arial"/>
                <w:sz w:val="18"/>
                <w:szCs w:val="18"/>
                <w:color w:val="0000EE"/>
              </w:rPr>
            </w:pPr>
            <w:hyperlink r:id="rId444">
              <w:r>
                <w:rPr>
                  <w:rFonts w:ascii="Arial" w:cs="Arial" w:eastAsia="Arial" w:hAnsi="Arial"/>
                  <w:sz w:val="18"/>
                  <w:szCs w:val="18"/>
                  <w:color w:val="0000EE"/>
                </w:rPr>
                <w:t>Form of 2018 Equity Incentive Plan and forms of agreements thereunder (to be in effect upon the closing of this offering).</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9" w:name="page220"/>
    <w:bookmarkEnd w:id="219"/>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20" w:type="dxa"/>
            <w:vAlign w:val="bottom"/>
          </w:tcPr>
          <w:p>
            <w:pPr>
              <w:spacing w:after="0"/>
              <w:rPr>
                <w:sz w:val="16"/>
                <w:szCs w:val="16"/>
                <w:color w:val="auto"/>
              </w:rPr>
            </w:pPr>
          </w:p>
        </w:tc>
        <w:tc>
          <w:tcPr>
            <w:tcW w:w="580" w:type="dxa"/>
            <w:vAlign w:val="bottom"/>
            <w:tcBorders>
              <w:bottom w:val="single" w:sz="8" w:color="0000EE"/>
            </w:tcBorders>
            <w:gridSpan w:val="3"/>
          </w:tcPr>
          <w:p>
            <w:pPr>
              <w:spacing w:after="0" w:line="189" w:lineRule="exact"/>
              <w:rPr>
                <w:rFonts w:ascii="Arial" w:cs="Arial" w:eastAsia="Arial" w:hAnsi="Arial"/>
                <w:sz w:val="18"/>
                <w:szCs w:val="18"/>
                <w:color w:val="0000EE"/>
                <w:w w:val="94"/>
              </w:rPr>
            </w:pPr>
            <w:hyperlink r:id="rId445">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17**</w:t>
              </w:r>
            </w:hyperlink>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tcBorders>
              <w:bottom w:val="single" w:sz="8" w:color="0000EE"/>
            </w:tcBorders>
            <w:gridSpan w:val="8"/>
          </w:tcPr>
          <w:p>
            <w:pPr>
              <w:spacing w:after="0" w:line="189" w:lineRule="exact"/>
              <w:rPr>
                <w:rFonts w:ascii="Arial" w:cs="Arial" w:eastAsia="Arial" w:hAnsi="Arial"/>
                <w:sz w:val="18"/>
                <w:szCs w:val="18"/>
                <w:color w:val="0000EE"/>
                <w:w w:val="88"/>
              </w:rPr>
            </w:pPr>
            <w:hyperlink r:id="rId445">
              <w:r>
                <w:rPr>
                  <w:rFonts w:ascii="Arial" w:cs="Arial" w:eastAsia="Arial" w:hAnsi="Arial"/>
                  <w:sz w:val="18"/>
                  <w:szCs w:val="18"/>
                  <w:color w:val="0000EE"/>
                  <w:w w:val="88"/>
                </w:rPr>
                <w:t>Amendment No. 1 to the Series B Preferred Share Purchase Agreement, dated December 18, 2017, between the Registrant and the other</w:t>
              </w:r>
            </w:hyperlink>
          </w:p>
        </w:tc>
        <w:tc>
          <w:tcPr>
            <w:tcW w:w="220" w:type="dxa"/>
            <w:vAlign w:val="bottom"/>
            <w:gridSpan w:val="2"/>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gridSpan w:val="11"/>
          </w:tcPr>
          <w:p>
            <w:pPr>
              <w:spacing w:after="0" w:line="196" w:lineRule="exact"/>
              <w:rPr>
                <w:rFonts w:ascii="Arial" w:cs="Arial" w:eastAsia="Arial" w:hAnsi="Arial"/>
                <w:sz w:val="18"/>
                <w:szCs w:val="18"/>
                <w:color w:val="0000EE"/>
              </w:rPr>
            </w:pPr>
            <w:hyperlink r:id="rId445">
              <w:r>
                <w:rPr>
                  <w:rFonts w:ascii="Arial" w:cs="Arial" w:eastAsia="Arial" w:hAnsi="Arial"/>
                  <w:sz w:val="18"/>
                  <w:szCs w:val="18"/>
                  <w:color w:val="0000EE"/>
                </w:rPr>
                <w:t>parties thereto.</w:t>
              </w:r>
            </w:hyperlink>
          </w:p>
        </w:tc>
      </w:tr>
      <w:tr>
        <w:trPr>
          <w:trHeight w:val="20"/>
        </w:trPr>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600" w:type="dxa"/>
            <w:vAlign w:val="bottom"/>
            <w:gridSpan w:val="4"/>
          </w:tcPr>
          <w:p>
            <w:pPr>
              <w:spacing w:after="0"/>
              <w:rPr>
                <w:rFonts w:ascii="Arial" w:cs="Arial" w:eastAsia="Arial" w:hAnsi="Arial"/>
                <w:sz w:val="18"/>
                <w:szCs w:val="18"/>
                <w:color w:val="0000EE"/>
                <w:w w:val="98"/>
              </w:rPr>
            </w:pPr>
            <w:hyperlink r:id="rId446">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18**</w:t>
              </w:r>
            </w:hyperlink>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20" w:type="dxa"/>
            <w:vAlign w:val="bottom"/>
            <w:gridSpan w:val="11"/>
          </w:tcPr>
          <w:p>
            <w:pPr>
              <w:spacing w:after="0"/>
              <w:rPr>
                <w:rFonts w:ascii="Arial" w:cs="Arial" w:eastAsia="Arial" w:hAnsi="Arial"/>
                <w:sz w:val="18"/>
                <w:szCs w:val="18"/>
                <w:color w:val="0000EE"/>
              </w:rPr>
            </w:pPr>
            <w:hyperlink r:id="rId446">
              <w:r>
                <w:rPr>
                  <w:rFonts w:ascii="Arial" w:cs="Arial" w:eastAsia="Arial" w:hAnsi="Arial"/>
                  <w:sz w:val="18"/>
                  <w:szCs w:val="18"/>
                  <w:color w:val="0000EE"/>
                </w:rPr>
                <w:t>Form of Warrant Agency Agreement</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600" w:type="dxa"/>
            <w:vAlign w:val="bottom"/>
            <w:gridSpan w:val="4"/>
          </w:tcPr>
          <w:p>
            <w:pPr>
              <w:spacing w:after="0"/>
              <w:rPr>
                <w:rFonts w:ascii="Arial" w:cs="Arial" w:eastAsia="Arial" w:hAnsi="Arial"/>
                <w:sz w:val="18"/>
                <w:szCs w:val="18"/>
                <w:color w:val="0000EE"/>
              </w:rPr>
            </w:pPr>
            <w:hyperlink r:id="rId447">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11"/>
          </w:tcPr>
          <w:p>
            <w:pPr>
              <w:spacing w:after="0"/>
              <w:rPr>
                <w:rFonts w:ascii="Arial" w:cs="Arial" w:eastAsia="Arial" w:hAnsi="Arial"/>
                <w:sz w:val="18"/>
                <w:szCs w:val="18"/>
                <w:color w:val="0000EE"/>
              </w:rPr>
            </w:pPr>
            <w:hyperlink r:id="rId447">
              <w:r>
                <w:rPr>
                  <w:rFonts w:ascii="Arial" w:cs="Arial" w:eastAsia="Arial" w:hAnsi="Arial"/>
                  <w:sz w:val="18"/>
                  <w:szCs w:val="18"/>
                  <w:color w:val="0000EE"/>
                </w:rPr>
                <w:t>List of subsidiaries.</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0000EE"/>
                <w:w w:val="92"/>
              </w:rPr>
              <w:t>Consent of Kesselman &amp; Kesselman, Certified Public Accountants, a member firm of PricewaterhouseCoopers International Limited, an</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independent registered public accounting firm.</w:t>
            </w:r>
          </w:p>
        </w:tc>
        <w:tc>
          <w:tcPr>
            <w:tcW w:w="6660" w:type="dxa"/>
            <w:vAlign w:val="bottom"/>
            <w:gridSpan w:val="6"/>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0000EE"/>
              </w:rPr>
              <w:t>Consent of Herzog Fox &amp; Neeman (included in Exhibits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0000EE"/>
              </w:rPr>
              <w:t>Consent of Davis Polk &amp; Wardwell LLP (included in Exhibits 5.2 and 8.1)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r>
      <w:tr>
        <w:trPr>
          <w:trHeight w:val="223"/>
        </w:trPr>
        <w:tc>
          <w:tcPr>
            <w:tcW w:w="320" w:type="dxa"/>
            <w:vAlign w:val="bottom"/>
            <w:gridSpan w:val="2"/>
          </w:tcPr>
          <w:p>
            <w:pPr>
              <w:spacing w:after="0"/>
              <w:rPr>
                <w:rFonts w:ascii="Arial" w:cs="Arial" w:eastAsia="Arial" w:hAnsi="Arial"/>
                <w:sz w:val="18"/>
                <w:szCs w:val="18"/>
                <w:color w:val="0000EE"/>
                <w:w w:val="85"/>
              </w:rPr>
            </w:pPr>
            <w:hyperlink w:anchor="page221">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gridSpan w:val="11"/>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Powers of Attorney (included on signature page).</w:t>
              </w:r>
            </w:hyperlink>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151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9100" w:firstLine="8"/>
        <w:spacing w:after="0" w:line="571" w:lineRule="auto"/>
        <w:tabs>
          <w:tab w:leader="none" w:pos="3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20" w:name="page221"/>
    <w:bookmarkEnd w:id="220"/>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Jerusalem, Israel, on June 25, 2018.</w:t>
      </w:r>
    </w:p>
    <w:p>
      <w:pPr>
        <w:spacing w:after="0" w:line="16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ENTERA BIO LTD.</w:t>
      </w:r>
    </w:p>
    <w:p>
      <w:pPr>
        <w:spacing w:after="0" w:line="14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Dr.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48895</wp:posOffset>
            </wp:positionV>
            <wp:extent cx="133794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8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Dr. Phillip Schwartz</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221" w:name="page222"/>
    <w:bookmarkEnd w:id="221"/>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Each person whose signature appears below constitutes and appoints Phillip Schwartz and Mira Rosenzweig, and each of them,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1" w:lineRule="exact"/>
        <w:rPr>
          <w:sz w:val="20"/>
          <w:szCs w:val="20"/>
          <w:color w:val="auto"/>
        </w:rPr>
      </w:pPr>
    </w:p>
    <w:p>
      <w:pPr>
        <w:ind w:left="1620"/>
        <w:spacing w:after="0"/>
        <w:tabs>
          <w:tab w:leader="none" w:pos="6480" w:val="left"/>
          <w:tab w:leader="none" w:pos="102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32385</wp:posOffset>
            </wp:positionV>
            <wp:extent cx="723773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Dr.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Dr. Phillip Schwartz</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Mira Rosenzweig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Mira Rosenzweig</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David Ben Ami</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Chaim Davis</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Roger Garceau</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Gerald Lieberman</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Yonatan Malca</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24180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Zeev Bronfeld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23495</wp:posOffset>
            </wp:positionV>
            <wp:extent cx="247840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57"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 xml:space="preserve">Phillip Schwartz, </w:t>
      </w: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jc w:val="center"/>
              <w:ind w:right="790"/>
              <w:spacing w:after="0"/>
              <w:rPr>
                <w:sz w:val="20"/>
                <w:szCs w:val="20"/>
                <w:color w:val="auto"/>
              </w:rPr>
            </w:pPr>
            <w:r>
              <w:rPr>
                <w:rFonts w:ascii="Arial" w:cs="Arial" w:eastAsia="Arial" w:hAnsi="Arial"/>
                <w:sz w:val="18"/>
                <w:szCs w:val="18"/>
                <w:color w:val="auto"/>
                <w:w w:val="93"/>
              </w:rPr>
              <w:t>Chief Executive Officer</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r>
        <w:trPr>
          <w:trHeight w:val="230"/>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3"/>
              </w:rPr>
              <w:t>(Principal Executive Officer) and Director</w:t>
            </w:r>
          </w:p>
        </w:tc>
        <w:tc>
          <w:tcPr>
            <w:tcW w:w="1840" w:type="dxa"/>
            <w:vAlign w:val="bottom"/>
          </w:tcPr>
          <w:p>
            <w:pPr>
              <w:spacing w:after="0"/>
              <w:rPr>
                <w:sz w:val="20"/>
                <w:szCs w:val="20"/>
                <w:color w:val="auto"/>
              </w:rPr>
            </w:pPr>
          </w:p>
        </w:tc>
      </w:tr>
      <w:tr>
        <w:trPr>
          <w:trHeight w:val="364"/>
        </w:trPr>
        <w:tc>
          <w:tcPr>
            <w:tcW w:w="4080" w:type="dxa"/>
            <w:vAlign w:val="bottom"/>
          </w:tcPr>
          <w:p>
            <w:pPr>
              <w:jc w:val="center"/>
              <w:ind w:right="790"/>
              <w:spacing w:after="0"/>
              <w:rPr>
                <w:sz w:val="20"/>
                <w:szCs w:val="20"/>
                <w:color w:val="auto"/>
              </w:rPr>
            </w:pPr>
            <w:r>
              <w:rPr>
                <w:rFonts w:ascii="Arial" w:cs="Arial" w:eastAsia="Arial" w:hAnsi="Arial"/>
                <w:sz w:val="18"/>
                <w:szCs w:val="18"/>
                <w:color w:val="auto"/>
                <w:w w:val="94"/>
              </w:rPr>
              <w:t>Chief Financial Officer</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r>
        <w:trPr>
          <w:trHeight w:val="230"/>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3"/>
              </w:rPr>
              <w:t>(Principal Financial and Accounting Officer)</w:t>
            </w:r>
          </w:p>
        </w:tc>
        <w:tc>
          <w:tcPr>
            <w:tcW w:w="1840" w:type="dxa"/>
            <w:vAlign w:val="bottom"/>
          </w:tcPr>
          <w:p>
            <w:pPr>
              <w:spacing w:after="0"/>
              <w:rPr>
                <w:sz w:val="20"/>
                <w:szCs w:val="20"/>
                <w:color w:val="auto"/>
              </w:rPr>
            </w:pPr>
          </w:p>
        </w:tc>
      </w:tr>
      <w:tr>
        <w:trPr>
          <w:trHeight w:val="378"/>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0"/>
              </w:rPr>
              <w:t>Chairman of the Board</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r>
        <w:trPr>
          <w:trHeight w:val="594"/>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r>
        <w:trPr>
          <w:trHeight w:val="594"/>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r>
        <w:trPr>
          <w:trHeight w:val="594"/>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r>
        <w:trPr>
          <w:trHeight w:val="594"/>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r>
        <w:trPr>
          <w:trHeight w:val="594"/>
        </w:trPr>
        <w:tc>
          <w:tcPr>
            <w:tcW w:w="4080" w:type="dxa"/>
            <w:vAlign w:val="bottom"/>
          </w:tcPr>
          <w:p>
            <w:pPr>
              <w:jc w:val="center"/>
              <w:ind w:right="7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40"/>
              <w:spacing w:after="0"/>
              <w:rPr>
                <w:sz w:val="20"/>
                <w:szCs w:val="20"/>
                <w:color w:val="auto"/>
              </w:rPr>
            </w:pPr>
            <w:r>
              <w:rPr>
                <w:rFonts w:ascii="Arial" w:cs="Arial" w:eastAsia="Arial" w:hAnsi="Arial"/>
                <w:sz w:val="18"/>
                <w:szCs w:val="18"/>
                <w:color w:val="auto"/>
                <w:w w:val="85"/>
              </w:rPr>
              <w:t>June 25, 2018</w:t>
            </w:r>
          </w:p>
        </w:tc>
      </w:tr>
    </w:tbl>
    <w:p>
      <w:pPr>
        <w:spacing w:after="0" w:line="1216" w:lineRule="exact"/>
        <w:rPr>
          <w:sz w:val="20"/>
          <w:szCs w:val="20"/>
          <w:color w:val="auto"/>
        </w:rPr>
      </w:pPr>
    </w:p>
    <w:p>
      <w:pPr>
        <w:sectPr>
          <w:pgSz w:w="11900" w:h="16838" w:orient="portrait"/>
          <w:cols w:equalWidth="0" w:num="2">
            <w:col w:w="4300" w:space="720"/>
            <w:col w:w="6320"/>
          </w:cols>
          <w:pgMar w:left="240" w:top="132" w:right="319" w:bottom="1440" w:gutter="0" w:footer="0" w:header="0"/>
          <w:type w:val="continuous"/>
        </w:sectPr>
      </w:pP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type w:val="continuous"/>
        </w:sectPr>
      </w:pPr>
    </w:p>
    <w:bookmarkStart w:id="222" w:name="page223"/>
    <w:bookmarkEnd w:id="222"/>
    <w:p>
      <w:pPr>
        <w:spacing w:after="0"/>
        <w:rPr>
          <w:rFonts w:ascii="Arial" w:cs="Arial" w:eastAsia="Arial" w:hAnsi="Arial"/>
          <w:sz w:val="14"/>
          <w:szCs w:val="14"/>
          <w:color w:val="003366"/>
        </w:rPr>
      </w:pPr>
      <w:hyperlink w:anchor="page18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has signed this registration statement, solely in its capacity as the duly authorized representative of the Registrant in the United States on June 25, 2018.</w:t>
      </w:r>
    </w:p>
    <w:p>
      <w:pPr>
        <w:spacing w:after="0" w:line="1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48895</wp:posOffset>
            </wp:positionV>
            <wp:extent cx="133794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9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Colleen A. DeVries</w:t>
      </w:r>
    </w:p>
    <w:p>
      <w:pPr>
        <w:spacing w:after="0" w:line="23" w:lineRule="exact"/>
        <w:rPr>
          <w:sz w:val="20"/>
          <w:szCs w:val="20"/>
          <w:color w:val="auto"/>
        </w:rPr>
      </w:pPr>
    </w:p>
    <w:p>
      <w:pPr>
        <w:ind w:left="6520"/>
        <w:spacing w:after="0"/>
        <w:tabs>
          <w:tab w:leader="none" w:pos="7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SVP on behalf of Cogency Global</w:t>
      </w: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32" w:right="559" w:bottom="1440" w:gutter="0" w:footer="0" w:header="0"/>
        </w:sectPr>
      </w:pPr>
    </w:p>
    <w:bookmarkStart w:id="223" w:name="page224"/>
    <w:bookmarkEnd w:id="223"/>
    <w:p>
      <w:pPr>
        <w:jc w:val="right"/>
        <w:spacing w:after="0"/>
        <w:rPr>
          <w:sz w:val="20"/>
          <w:szCs w:val="20"/>
          <w:color w:val="auto"/>
        </w:rPr>
      </w:pPr>
      <w:r>
        <w:rPr>
          <w:rFonts w:ascii="Arial" w:cs="Arial" w:eastAsia="Arial" w:hAnsi="Arial"/>
          <w:sz w:val="19"/>
          <w:szCs w:val="19"/>
          <w:b w:val="1"/>
          <w:bCs w:val="1"/>
          <w:color w:val="auto"/>
        </w:rPr>
        <w:t>Exhibit 5.2</w:t>
      </w:r>
    </w:p>
    <w:p>
      <w:pPr>
        <w:sectPr>
          <w:pgSz w:w="11900" w:h="16838" w:orient="portrait"/>
          <w:cols w:equalWidth="0" w:num="1">
            <w:col w:w="11420"/>
          </w:cols>
          <w:pgMar w:left="240" w:top="355" w:right="239" w:bottom="1440" w:gutter="0" w:footer="0" w:header="0"/>
        </w:sectPr>
      </w:pPr>
    </w:p>
    <w:p>
      <w:pPr>
        <w:spacing w:after="0" w:line="272"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New York</w:t>
      </w:r>
    </w:p>
    <w:p>
      <w:pPr>
        <w:ind w:left="7000"/>
        <w:spacing w:after="0" w:line="226" w:lineRule="auto"/>
        <w:rPr>
          <w:sz w:val="20"/>
          <w:szCs w:val="20"/>
          <w:color w:val="auto"/>
        </w:rPr>
      </w:pPr>
      <w:r>
        <w:rPr>
          <w:rFonts w:ascii="Arial" w:cs="Arial" w:eastAsia="Arial" w:hAnsi="Arial"/>
          <w:sz w:val="14"/>
          <w:szCs w:val="14"/>
          <w:b w:val="1"/>
          <w:bCs w:val="1"/>
          <w:color w:val="auto"/>
        </w:rPr>
        <w:t>Menlo Park</w:t>
      </w:r>
    </w:p>
    <w:p>
      <w:pPr>
        <w:ind w:left="7000"/>
        <w:spacing w:after="0"/>
        <w:rPr>
          <w:sz w:val="20"/>
          <w:szCs w:val="20"/>
          <w:color w:val="auto"/>
        </w:rPr>
      </w:pPr>
      <w:r>
        <w:rPr>
          <w:rFonts w:ascii="Arial" w:cs="Arial" w:eastAsia="Arial" w:hAnsi="Arial"/>
          <w:sz w:val="13"/>
          <w:szCs w:val="13"/>
          <w:b w:val="1"/>
          <w:bCs w:val="1"/>
          <w:color w:val="auto"/>
        </w:rPr>
        <w:t>Washington DC</w:t>
      </w:r>
    </w:p>
    <w:p>
      <w:pPr>
        <w:ind w:left="7000"/>
        <w:spacing w:after="0" w:line="221" w:lineRule="auto"/>
        <w:rPr>
          <w:sz w:val="20"/>
          <w:szCs w:val="20"/>
          <w:color w:val="auto"/>
        </w:rPr>
      </w:pPr>
      <w:r>
        <w:rPr>
          <w:rFonts w:ascii="Arial" w:cs="Arial" w:eastAsia="Arial" w:hAnsi="Arial"/>
          <w:sz w:val="14"/>
          <w:szCs w:val="14"/>
          <w:b w:val="1"/>
          <w:bCs w:val="1"/>
          <w:color w:val="auto"/>
        </w:rPr>
        <w:t>São Paulo</w:t>
      </w:r>
    </w:p>
    <w:p>
      <w:pPr>
        <w:ind w:left="700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29055" cy="2571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3" w:lineRule="exact"/>
        <w:rPr>
          <w:sz w:val="20"/>
          <w:szCs w:val="20"/>
          <w:color w:val="auto"/>
        </w:rPr>
      </w:pPr>
    </w:p>
    <w:p>
      <w:pPr>
        <w:sectPr>
          <w:pgSz w:w="11900" w:h="16838" w:orient="portrait"/>
          <w:cols w:equalWidth="0" w:num="2">
            <w:col w:w="8840" w:space="720"/>
            <w:col w:w="1860"/>
          </w:cols>
          <w:pgMar w:left="240" w:top="3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2340" w:type="dxa"/>
            <w:vAlign w:val="bottom"/>
          </w:tcPr>
          <w:p>
            <w:pPr>
              <w:ind w:left="1340"/>
              <w:spacing w:after="0"/>
              <w:rPr>
                <w:sz w:val="20"/>
                <w:szCs w:val="20"/>
                <w:color w:val="auto"/>
              </w:rPr>
            </w:pPr>
            <w:r>
              <w:rPr>
                <w:rFonts w:ascii="Arial" w:cs="Arial" w:eastAsia="Arial" w:hAnsi="Arial"/>
                <w:sz w:val="14"/>
                <w:szCs w:val="14"/>
                <w:color w:val="auto"/>
                <w:w w:val="93"/>
              </w:rPr>
              <w:t>212 450 4000 tel</w:t>
            </w: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4"/>
                <w:szCs w:val="14"/>
                <w:color w:val="auto"/>
              </w:rPr>
              <w:t>450 Lexington Avenue</w:t>
            </w:r>
          </w:p>
        </w:tc>
        <w:tc>
          <w:tcPr>
            <w:tcW w:w="2340" w:type="dxa"/>
            <w:vAlign w:val="bottom"/>
          </w:tcPr>
          <w:p>
            <w:pPr>
              <w:ind w:left="1340"/>
              <w:spacing w:after="0" w:line="149" w:lineRule="exact"/>
              <w:rPr>
                <w:sz w:val="20"/>
                <w:szCs w:val="20"/>
                <w:color w:val="auto"/>
              </w:rPr>
            </w:pPr>
            <w:r>
              <w:rPr>
                <w:rFonts w:ascii="Arial" w:cs="Arial" w:eastAsia="Arial" w:hAnsi="Arial"/>
                <w:sz w:val="14"/>
                <w:szCs w:val="14"/>
                <w:color w:val="auto"/>
                <w:w w:val="90"/>
              </w:rPr>
              <w:t>212 701 5800 fax</w:t>
            </w:r>
          </w:p>
        </w:tc>
      </w:tr>
      <w:tr>
        <w:trPr>
          <w:trHeight w:val="182"/>
        </w:trPr>
        <w:tc>
          <w:tcPr>
            <w:tcW w:w="3020" w:type="dxa"/>
            <w:vAlign w:val="bottom"/>
          </w:tcPr>
          <w:p>
            <w:pPr>
              <w:spacing w:after="0"/>
              <w:rPr>
                <w:sz w:val="20"/>
                <w:szCs w:val="20"/>
                <w:color w:val="auto"/>
              </w:rPr>
            </w:pPr>
            <w:r>
              <w:rPr>
                <w:rFonts w:ascii="Arial" w:cs="Arial" w:eastAsia="Arial" w:hAnsi="Arial"/>
                <w:sz w:val="14"/>
                <w:szCs w:val="14"/>
                <w:color w:val="auto"/>
              </w:rPr>
              <w:t>New York, NY 10017</w:t>
            </w:r>
          </w:p>
        </w:tc>
        <w:tc>
          <w:tcPr>
            <w:tcW w:w="2340" w:type="dxa"/>
            <w:vAlign w:val="bottom"/>
          </w:tcPr>
          <w:p>
            <w:pPr>
              <w:spacing w:after="0"/>
              <w:rPr>
                <w:sz w:val="15"/>
                <w:szCs w:val="15"/>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June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Hadassah Medical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Kiryat Hadassah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9112002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Entera Bio Ltd., a corporation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has filed with the Securities and Exchange Commission a Registration Statement on Form F-1 (File No. 333-221472)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offer and sale of ordinary shares and 1,333,334 warrants, each entitling its holder to purchase 0.50 of the Company’s common shares, par value NIS 0.0000769 per share (the “</w:t>
      </w:r>
      <w:r>
        <w:rPr>
          <w:rFonts w:ascii="Arial" w:cs="Arial" w:eastAsia="Arial" w:hAnsi="Arial"/>
          <w:sz w:val="17"/>
          <w:szCs w:val="17"/>
          <w:b w:val="1"/>
          <w:bCs w:val="1"/>
          <w:color w:val="auto"/>
        </w:rPr>
        <w:t>Warrants</w:t>
      </w:r>
      <w:r>
        <w:rPr>
          <w:rFonts w:ascii="Arial" w:cs="Arial" w:eastAsia="Arial" w:hAnsi="Arial"/>
          <w:sz w:val="17"/>
          <w:szCs w:val="17"/>
          <w:color w:val="auto"/>
        </w:rPr>
        <w:t>”), to be sold pursuant to the Underwriting Agreement to be entered into in connection with the offering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between the Company and Maxim Group LLC, as representatives of the several underwriters named therein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The Warrants include 200,000 warrants that may be purchased by the Underwriter pursuant to the option to purchase additional warrants set forth in the Underwriting Agreement.</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Based upon the foregoing, and subject to the additional assumptions and qualifications set forth below, we advise you that, assuming that the Warrants have been duly authorized, executed and delivered by the Company insofar as Israeli law is concerned, the Warrants, when the Warrants are executed and authenticated in accordance with their terms and delivered to and paid for by the Underwriter pursuant to the Underwriting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in the Warrants that requires or relates to adjustments to the exercise price at a price or in an amount that a court would determine in the circumstances under applicable law to be commercially unreasonable or a penalty or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224" w:name="page225"/>
    <w:bookmarkEnd w:id="224"/>
    <w:p>
      <w:pPr>
        <w:spacing w:after="0" w:line="291" w:lineRule="auto"/>
        <w:rPr>
          <w:sz w:val="20"/>
          <w:szCs w:val="20"/>
          <w:color w:val="auto"/>
        </w:rPr>
      </w:pPr>
      <w:r>
        <w:rPr>
          <w:rFonts w:ascii="Arial" w:cs="Arial" w:eastAsia="Arial" w:hAnsi="Arial"/>
          <w:sz w:val="16"/>
          <w:szCs w:val="16"/>
          <w:color w:val="auto"/>
        </w:rPr>
        <w:t>In connection with the opinion expressed above, we have assumed that each party to the Warrants has been duly incorporated and is validly existing under the laws of the jurisdiction of its organization. In addition, we have assumed that the execution, delivery and performance by each party thereto of the Warrants</w:t>
      </w:r>
    </w:p>
    <w:p>
      <w:pPr>
        <w:ind w:right="280" w:firstLine="8"/>
        <w:spacing w:after="0" w:line="253" w:lineRule="auto"/>
        <w:tabs>
          <w:tab w:leader="none" w:pos="24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934720" cy="7029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9347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use in this Amendment No. 6 to the Registration Statement on Form F-1 of Entera Bio Ltd. of our report dated March 30, 2018 relating to the financial statements of Entera Bio Ltd., which appears in this Registration Statement. We also consent to the reference to us under the heading “Experts" in such Registration Statement.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ind w:left="100"/>
              <w:spacing w:after="0"/>
              <w:rPr>
                <w:sz w:val="20"/>
                <w:szCs w:val="20"/>
                <w:color w:val="auto"/>
              </w:rPr>
            </w:pPr>
            <w:r>
              <w:rPr>
                <w:rFonts w:ascii="Arial" w:cs="Arial" w:eastAsia="Arial" w:hAnsi="Arial"/>
                <w:sz w:val="18"/>
                <w:szCs w:val="18"/>
                <w:color w:val="auto"/>
              </w:rPr>
              <w:t>Tel-Aviv, Israel</w:t>
            </w:r>
          </w:p>
        </w:tc>
        <w:tc>
          <w:tcPr>
            <w:tcW w:w="8820" w:type="dxa"/>
            <w:vAlign w:val="bottom"/>
          </w:tcPr>
          <w:p>
            <w:pPr>
              <w:ind w:left="1400"/>
              <w:spacing w:after="0"/>
              <w:rPr>
                <w:sz w:val="20"/>
                <w:szCs w:val="20"/>
                <w:color w:val="auto"/>
              </w:rPr>
            </w:pPr>
            <w:r>
              <w:rPr>
                <w:rFonts w:ascii="Arial" w:cs="Arial" w:eastAsia="Arial" w:hAnsi="Arial"/>
                <w:sz w:val="18"/>
                <w:szCs w:val="18"/>
                <w:color w:val="auto"/>
              </w:rPr>
              <w:t>/S/ Kesselman &amp; Kesselman</w:t>
            </w:r>
          </w:p>
        </w:tc>
      </w:tr>
      <w:tr>
        <w:trPr>
          <w:trHeight w:val="216"/>
        </w:trPr>
        <w:tc>
          <w:tcPr>
            <w:tcW w:w="2600" w:type="dxa"/>
            <w:vAlign w:val="bottom"/>
          </w:tcPr>
          <w:p>
            <w:pPr>
              <w:ind w:left="100"/>
              <w:spacing w:after="0"/>
              <w:rPr>
                <w:sz w:val="20"/>
                <w:szCs w:val="20"/>
                <w:color w:val="auto"/>
              </w:rPr>
            </w:pPr>
            <w:r>
              <w:rPr>
                <w:rFonts w:ascii="Arial" w:cs="Arial" w:eastAsia="Arial" w:hAnsi="Arial"/>
                <w:sz w:val="18"/>
                <w:szCs w:val="18"/>
                <w:color w:val="auto"/>
              </w:rPr>
              <w:t>June 25, 2018</w:t>
            </w:r>
          </w:p>
        </w:tc>
        <w:tc>
          <w:tcPr>
            <w:tcW w:w="8820" w:type="dxa"/>
            <w:vAlign w:val="bottom"/>
          </w:tcPr>
          <w:p>
            <w:pPr>
              <w:ind w:left="1400"/>
              <w:spacing w:after="0"/>
              <w:rPr>
                <w:sz w:val="20"/>
                <w:szCs w:val="20"/>
                <w:color w:val="auto"/>
              </w:rPr>
            </w:pPr>
            <w:r>
              <w:rPr>
                <w:rFonts w:ascii="Arial" w:cs="Arial" w:eastAsia="Arial" w:hAnsi="Arial"/>
                <w:sz w:val="18"/>
                <w:szCs w:val="18"/>
                <w:color w:val="auto"/>
              </w:rPr>
              <w:t>Certified Public Accountants (lsr.)</w:t>
            </w:r>
          </w:p>
        </w:tc>
      </w:tr>
      <w:tr>
        <w:trPr>
          <w:trHeight w:val="230"/>
        </w:trPr>
        <w:tc>
          <w:tcPr>
            <w:tcW w:w="2600" w:type="dxa"/>
            <w:vAlign w:val="bottom"/>
          </w:tcPr>
          <w:p>
            <w:pPr>
              <w:spacing w:after="0"/>
              <w:rPr>
                <w:sz w:val="20"/>
                <w:szCs w:val="20"/>
                <w:color w:val="auto"/>
              </w:rPr>
            </w:pPr>
          </w:p>
        </w:tc>
        <w:tc>
          <w:tcPr>
            <w:tcW w:w="8820" w:type="dxa"/>
            <w:vAlign w:val="bottom"/>
          </w:tcPr>
          <w:p>
            <w:pPr>
              <w:ind w:left="1400"/>
              <w:spacing w:after="0"/>
              <w:rPr>
                <w:sz w:val="20"/>
                <w:szCs w:val="20"/>
                <w:color w:val="auto"/>
              </w:rPr>
            </w:pPr>
            <w:r>
              <w:rPr>
                <w:rFonts w:ascii="Arial" w:cs="Arial" w:eastAsia="Arial" w:hAnsi="Arial"/>
                <w:sz w:val="18"/>
                <w:szCs w:val="18"/>
                <w:color w:val="auto"/>
              </w:rPr>
              <w:t>A member firm of PricewaterhouseCoopers International Limited</w:t>
            </w:r>
          </w:p>
        </w:tc>
      </w:tr>
      <w:tr>
        <w:trPr>
          <w:trHeight w:val="675"/>
        </w:trPr>
        <w:tc>
          <w:tcPr>
            <w:tcW w:w="260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decimal"/>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1)"/>
      <w:numFmt w:val="decimal"/>
      <w:start w:val="1"/>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1)"/>
      <w:numFmt w:val="decimal"/>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1)"/>
      <w:numFmt w:val="decimal"/>
      <w:start w:val="1"/>
    </w:lvl>
  </w:abstractNum>
  <w:abstractNum w:abstractNumId="39">
    <w:nsid w:val="43F18422"/>
    <w:multiLevelType w:val="hybridMultilevel"/>
    <w:lvl w:ilvl="0">
      <w:lvlJc w:val="left"/>
      <w:lvlText w:val="(%1)"/>
      <w:numFmt w:val="decimal"/>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1)"/>
      <w:numFmt w:val="decimal"/>
      <w:start w:val="1"/>
    </w:lvl>
  </w:abstractNum>
  <w:abstractNum w:abstractNumId="52">
    <w:nsid w:val="6A5F7029"/>
    <w:multiLevelType w:val="hybridMultilevel"/>
    <w:lvl w:ilvl="0">
      <w:lvlJc w:val="left"/>
      <w:lvlText w:val="(%1)"/>
      <w:numFmt w:val="decimal"/>
      <w:start w:val="4"/>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lvl w:ilvl="1">
      <w:lvlJc w:val="left"/>
      <w:lvlText w:val="•"/>
      <w:numFmt w:val="bullet"/>
      <w:start w:val="1"/>
    </w:lvl>
  </w:abstractNum>
  <w:abstractNum w:abstractNumId="61">
    <w:nsid w:val="71C91298"/>
    <w:multiLevelType w:val="hybridMultilevel"/>
    <w:lvl w:ilvl="0">
      <w:lvlJc w:val="left"/>
      <w:lvlText w:val="•"/>
      <w:numFmt w:val="bullet"/>
      <w:start w:val="1"/>
    </w:lvl>
    <w:lvl w:ilvl="1">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1)"/>
      <w:numFmt w:val="decimal"/>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1)"/>
      <w:numFmt w:val="decimal"/>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1)"/>
      <w:numFmt w:val="decimal"/>
      <w:start w:val="1"/>
    </w:lvl>
  </w:abstractNum>
  <w:abstractNum w:abstractNumId="77">
    <w:nsid w:val="23D86AAC"/>
    <w:multiLevelType w:val="hybridMultilevel"/>
    <w:lvl w:ilvl="0">
      <w:lvlJc w:val="left"/>
      <w:lvlText w:val="(%1)"/>
      <w:numFmt w:val="decimal"/>
      <w:start w:val="4"/>
    </w:lvl>
  </w:abstractNum>
  <w:abstractNum w:abstractNumId="78">
    <w:nsid w:val="45E6D486"/>
    <w:multiLevelType w:val="hybridMultilevel"/>
    <w:lvl w:ilvl="0">
      <w:lvlJc w:val="left"/>
      <w:lvlText w:val="(%1)"/>
      <w:numFmt w:val="decimal"/>
      <w:start w:val="10"/>
    </w:lvl>
  </w:abstractNum>
  <w:abstractNum w:abstractNumId="79">
    <w:nsid w:val="5C10FE21"/>
    <w:multiLevelType w:val="hybridMultilevel"/>
    <w:lvl w:ilvl="0">
      <w:lvlJc w:val="left"/>
      <w:lvlText w:val="(%1)"/>
      <w:numFmt w:val="decimal"/>
      <w:start w:val="18"/>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1)"/>
      <w:numFmt w:val="lowerRoman"/>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
      <w:numFmt w:val="bullet"/>
      <w:start w:val="1"/>
    </w:lvl>
  </w:abstractNum>
  <w:abstractNum w:abstractNumId="89">
    <w:nsid w:val="2C27173B"/>
    <w:multiLevelType w:val="hybridMultilevel"/>
    <w:lvl w:ilvl="0">
      <w:lvlJc w:val="left"/>
      <w:lvlText w:val="(%1)"/>
      <w:numFmt w:val="lowerLetter"/>
      <w:start w:val="1"/>
    </w:lvl>
  </w:abstractNum>
  <w:abstractNum w:abstractNumId="90">
    <w:nsid w:val="4C9B0904"/>
    <w:multiLevelType w:val="hybridMultilevel"/>
    <w:lvl w:ilvl="0">
      <w:lvlJc w:val="left"/>
      <w:lvlText w:val="(%1)"/>
      <w:numFmt w:val="lowerLetter"/>
      <w:start w:val="2"/>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1."/>
      <w:numFmt w:val="lowerLetter"/>
      <w:start w:val="1"/>
    </w:lvl>
    <w:lvl w:ilvl="1">
      <w:lvlJc w:val="left"/>
      <w:lvlText w:val="%2)"/>
      <w:numFmt w:val="decimal"/>
      <w:start w:val="1"/>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1"/>
      <w:numFmt w:val="lowerLetter"/>
      <w:start w:val="1"/>
    </w:lvl>
    <w:lvl w:ilvl="1">
      <w:lvlJc w:val="left"/>
      <w:lvlText w:val="%2)"/>
      <w:numFmt w:val="decimal"/>
      <w:start w:val="2"/>
    </w:lvl>
  </w:abstractNum>
  <w:abstractNum w:abstractNumId="100">
    <w:nsid w:val="53B0A9E"/>
    <w:multiLevelType w:val="hybridMultilevel"/>
    <w:lvl w:ilvl="0">
      <w:lvlJc w:val="left"/>
      <w:lvlText w:val="%1."/>
      <w:numFmt w:val="lowerLetter"/>
      <w:start w:val="7"/>
    </w:lvl>
    <w:lvl w:ilvl="1">
      <w:lvlJc w:val="left"/>
      <w:lvlText w:val="%2)"/>
      <w:numFmt w:val="decimal"/>
      <w:start w:val="1"/>
    </w:lvl>
  </w:abstractNum>
  <w:abstractNum w:abstractNumId="101">
    <w:nsid w:val="34FD6B4F"/>
    <w:multiLevelType w:val="hybridMultilevel"/>
    <w:lvl w:ilvl="0">
      <w:lvlJc w:val="left"/>
      <w:lvlText w:val="%1."/>
      <w:numFmt w:val="lowerLetter"/>
      <w:start w:val="10"/>
    </w:lvl>
  </w:abstractNum>
  <w:abstractNum w:abstractNumId="102">
    <w:nsid w:val="5915FF32"/>
    <w:multiLevelType w:val="hybridMultilevel"/>
    <w:lvl w:ilvl="0">
      <w:lvlJc w:val="left"/>
      <w:lvlText w:val="%1."/>
      <w:numFmt w:val="lowerLetter"/>
      <w:start w:val="14"/>
    </w:lvl>
    <w:lvl w:ilvl="1">
      <w:lvlJc w:val="left"/>
      <w:lvlText w:val="%2."/>
      <w:numFmt w:val="decimal"/>
      <w:start w:val="1"/>
    </w:lvl>
  </w:abstractNum>
  <w:abstractNum w:abstractNumId="103">
    <w:nsid w:val="56438D15"/>
    <w:multiLevelType w:val="hybridMultilevel"/>
    <w:lvl w:ilvl="0">
      <w:lvlJc w:val="left"/>
      <w:lvlText w:val="%1."/>
      <w:numFmt w:val="lowerLetter"/>
      <w:start w:val="1"/>
    </w:lvl>
    <w:lvl w:ilvl="1">
      <w:lvlJc w:val="left"/>
      <w:lvlText w:val="%2)"/>
      <w:numFmt w:val="decimal"/>
      <w:start w:val="1"/>
    </w:lvl>
  </w:abstractNum>
  <w:abstractNum w:abstractNumId="104">
    <w:nsid w:val="519E3149"/>
    <w:multiLevelType w:val="hybridMultilevel"/>
    <w:lvl w:ilvl="0">
      <w:lvlJc w:val="left"/>
      <w:lvlText w:val="%1"/>
      <w:numFmt w:val="lowerLetter"/>
      <w:start w:val="1"/>
    </w:lvl>
    <w:lvl w:ilvl="1">
      <w:lvlJc w:val="left"/>
      <w:lvlText w:val="%2)"/>
      <w:numFmt w:val="decimal"/>
      <w:start w:val="3"/>
    </w:lvl>
  </w:abstractNum>
  <w:abstractNum w:abstractNumId="105">
    <w:nsid w:val="2C6E4AFD"/>
    <w:multiLevelType w:val="hybridMultilevel"/>
    <w:lvl w:ilvl="0">
      <w:lvlJc w:val="left"/>
      <w:lvlText w:val="%1."/>
      <w:numFmt w:val="lowerLetter"/>
      <w:start w:val="2"/>
    </w:lvl>
    <w:lvl w:ilvl="1">
      <w:lvlJc w:val="left"/>
      <w:lvlText w:val="%2"/>
      <w:numFmt w:val="decimal"/>
      <w:start w:val="1"/>
    </w:lvl>
  </w:abstractNum>
  <w:abstractNum w:abstractNumId="106">
    <w:nsid w:val="17A1B582"/>
    <w:multiLevelType w:val="hybridMultilevel"/>
    <w:lvl w:ilvl="0">
      <w:lvlJc w:val="left"/>
      <w:lvlText w:val="%1."/>
      <w:numFmt w:val="lowerLetter"/>
      <w:start w:val="4"/>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2"/>
    </w:lvl>
  </w:abstractNum>
  <w:abstractNum w:abstractNumId="110">
    <w:nsid w:val="2A082C70"/>
    <w:multiLevelType w:val="hybridMultilevel"/>
    <w:lvl w:ilvl="0">
      <w:lvlJc w:val="left"/>
      <w:lvlText w:val="%1)"/>
      <w:numFmt w:val="lowerLetter"/>
      <w:start w:val="2"/>
    </w:lvl>
  </w:abstractNum>
  <w:abstractNum w:abstractNumId="111">
    <w:nsid w:val="5EC6AFD4"/>
    <w:multiLevelType w:val="hybridMultilevel"/>
    <w:lvl w:ilvl="0">
      <w:lvlJc w:val="left"/>
      <w:lvlText w:val="%1."/>
      <w:numFmt w:val="lowerLetter"/>
      <w:start w:val="2"/>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2"/>
    </w:lvl>
    <w:lvl w:ilvl="1">
      <w:lvlJc w:val="left"/>
      <w:lvlText w:val="%2."/>
      <w:numFmt w:val="lowerRoman"/>
      <w:start w:val="1"/>
    </w:lvl>
  </w:abstractNum>
  <w:abstractNum w:abstractNumId="116">
    <w:nsid w:val="20EE1348"/>
    <w:multiLevelType w:val="hybridMultilevel"/>
    <w:lvl w:ilvl="0">
      <w:lvlJc w:val="left"/>
      <w:lvlText w:val="%1"/>
      <w:numFmt w:val="lowerLetter"/>
      <w:start w:val="1"/>
    </w:lvl>
    <w:lvl w:ilvl="1">
      <w:lvlJc w:val="left"/>
      <w:lvlText w:val="%2."/>
      <w:numFmt w:val="lowerLetter"/>
      <w:start w:val="35"/>
    </w:lvl>
  </w:abstractNum>
  <w:abstractNum w:abstractNumId="117">
    <w:nsid w:val="4427069A"/>
    <w:multiLevelType w:val="hybridMultilevel"/>
    <w:lvl w:ilvl="0">
      <w:lvlJc w:val="left"/>
      <w:lvlText w:val="%1."/>
      <w:numFmt w:val="lowerLetter"/>
      <w:start w:val="4"/>
    </w:lvl>
    <w:lvl w:ilvl="1">
      <w:lvlJc w:val="left"/>
      <w:lvlText w:val="%2"/>
      <w:numFmt w:val="lowerLetter"/>
      <w:start w:val="1"/>
    </w:lvl>
  </w:abstractNum>
  <w:abstractNum w:abstractNumId="118">
    <w:nsid w:val="B37E80A"/>
    <w:multiLevelType w:val="hybridMultilevel"/>
    <w:lvl w:ilvl="0">
      <w:lvlJc w:val="left"/>
      <w:lvlText w:val="%1."/>
      <w:numFmt w:val="lowerLetter"/>
      <w:start w:val="5"/>
    </w:lvl>
  </w:abstractNum>
  <w:abstractNum w:abstractNumId="119">
    <w:nsid w:val="2157F6BC"/>
    <w:multiLevelType w:val="hybridMultilevel"/>
    <w:lvl w:ilvl="0">
      <w:lvlJc w:val="left"/>
      <w:lvlText w:val="%1."/>
      <w:numFmt w:val="lowerLetter"/>
      <w:start w:val="6"/>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1."/>
      <w:numFmt w:val="lowerLetter"/>
      <w:start w:val="1"/>
    </w:lvl>
  </w:abstractNum>
  <w:abstractNum w:abstractNumId="123">
    <w:nsid w:val="E3E47A8"/>
    <w:multiLevelType w:val="hybridMultilevel"/>
    <w:lvl w:ilvl="0">
      <w:lvlJc w:val="left"/>
      <w:lvlText w:val="%1."/>
      <w:numFmt w:val="lowerLetter"/>
      <w:start w:val="2"/>
    </w:lvl>
  </w:abstractNum>
  <w:abstractNum w:abstractNumId="124">
    <w:nsid w:val="2E48F044"/>
    <w:multiLevelType w:val="hybridMultilevel"/>
    <w:lvl w:ilvl="0">
      <w:lvlJc w:val="left"/>
      <w:lvlText w:val="%1."/>
      <w:numFmt w:val="lowerLetter"/>
      <w:start w:val="2"/>
    </w:lvl>
    <w:lvl w:ilvl="1">
      <w:lvlJc w:val="left"/>
      <w:lvlText w:val="%2)"/>
      <w:numFmt w:val="decimal"/>
      <w:start w:val="1"/>
    </w:lvl>
  </w:abstractNum>
  <w:abstractNum w:abstractNumId="125">
    <w:nsid w:val="49D0FEAC"/>
    <w:multiLevelType w:val="hybridMultilevel"/>
    <w:lvl w:ilvl="0">
      <w:lvlJc w:val="left"/>
      <w:lvlText w:val="%1)"/>
      <w:numFmt w:val="decimal"/>
      <w:start w:val="2"/>
    </w:lvl>
    <w:lvl w:ilvl="1">
      <w:lvlJc w:val="left"/>
      <w:lvlText w:val="%2)"/>
      <w:numFmt w:val="lowerLetter"/>
      <w:start w:val="1"/>
    </w:lvl>
  </w:abstractNum>
  <w:abstractNum w:abstractNumId="126">
    <w:nsid w:val="4BEE5A5B"/>
    <w:multiLevelType w:val="hybridMultilevel"/>
    <w:lvl w:ilvl="0">
      <w:lvlJc w:val="left"/>
      <w:lvlText w:val="%1"/>
      <w:numFmt w:val="decimal"/>
      <w:start w:val="1"/>
    </w:lvl>
    <w:lvl w:ilvl="1">
      <w:lvlJc w:val="left"/>
      <w:lvlText w:val="%2)"/>
      <w:numFmt w:val="lowerLetter"/>
      <w:start w:val="6"/>
    </w:lvl>
  </w:abstractNum>
  <w:abstractNum w:abstractNumId="127">
    <w:nsid w:val="5551B9F3"/>
    <w:multiLevelType w:val="hybridMultilevel"/>
    <w:lvl w:ilvl="0">
      <w:lvlJc w:val="left"/>
      <w:lvlText w:val="%1)"/>
      <w:numFmt w:val="decimal"/>
      <w:start w:val="3"/>
    </w:lvl>
    <w:lvl w:ilvl="1">
      <w:lvlJc w:val="left"/>
      <w:lvlText w:val="%2"/>
      <w:numFmt w:val="lowerLetter"/>
      <w:start w:val="1"/>
    </w:lvl>
  </w:abstractNum>
  <w:abstractNum w:abstractNumId="128">
    <w:nsid w:val="24F6AB8E"/>
    <w:multiLevelType w:val="hybridMultilevel"/>
    <w:lvl w:ilvl="0">
      <w:lvlJc w:val="left"/>
      <w:lvlText w:val="%1)"/>
      <w:numFmt w:val="decimal"/>
      <w:start w:val="4"/>
    </w:lvl>
  </w:abstractNum>
  <w:abstractNum w:abstractNumId="129">
    <w:nsid w:val="634C574C"/>
    <w:multiLevelType w:val="hybridMultilevel"/>
    <w:lvl w:ilvl="0">
      <w:lvlJc w:val="left"/>
      <w:lvlText w:val="%1)"/>
      <w:numFmt w:val="decimal"/>
      <w:start w:val="5"/>
    </w:lvl>
  </w:abstractNum>
  <w:abstractNum w:abstractNumId="130">
    <w:nsid w:val="24E99DD7"/>
    <w:multiLevelType w:val="hybridMultilevel"/>
    <w:lvl w:ilvl="0">
      <w:lvlJc w:val="left"/>
      <w:lvlText w:val="*"/>
      <w:numFmt w:val="bullet"/>
      <w:start w:val="1"/>
    </w:lvl>
    <w:lvl w:ilvl="1">
      <w:lvlJc w:val="left"/>
      <w:lvlText w:val="%2)"/>
      <w:numFmt w:val="decimal"/>
      <w:start w:val="6"/>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Letter"/>
      <w:start w:val="3"/>
    </w:lvl>
  </w:abstractNum>
  <w:abstractNum w:abstractNumId="133">
    <w:nsid w:val="7DFF9D09"/>
    <w:multiLevelType w:val="hybridMultilevel"/>
    <w:lvl w:ilvl="0">
      <w:lvlJc w:val="left"/>
      <w:lvlText w:val="%1."/>
      <w:numFmt w:val="lowerLetter"/>
      <w:start w:val="1"/>
    </w:lvl>
    <w:lvl w:ilvl="1">
      <w:lvlJc w:val="left"/>
      <w:lvlText w:val="%2)"/>
      <w:numFmt w:val="decimal"/>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
      <w:numFmt w:val="bullet"/>
      <w:start w:val="1"/>
    </w:lvl>
  </w:abstractNum>
  <w:abstractNum w:abstractNumId="136">
    <w:nsid w:val="2A6DE806"/>
    <w:multiLevelType w:val="hybridMultilevel"/>
    <w:lvl w:ilvl="0">
      <w:lvlJc w:val="left"/>
      <w:lvlText w:val="•"/>
      <w:numFmt w:val="bullet"/>
      <w:start w:val="1"/>
    </w:lvl>
  </w:abstractNum>
  <w:abstractNum w:abstractNumId="137">
    <w:nsid w:val="1816F8C4"/>
    <w:multiLevelType w:val="hybridMultilevel"/>
    <w:lvl w:ilvl="0">
      <w:lvlJc w:val="left"/>
      <w:lvlText w:val="•"/>
      <w:numFmt w:val="bullet"/>
      <w:start w:val="1"/>
    </w:lvl>
  </w:abstractNum>
  <w:abstractNum w:abstractNumId="138">
    <w:nsid w:val="37DF2233"/>
    <w:multiLevelType w:val="hybridMultilevel"/>
    <w:lvl w:ilvl="0">
      <w:lvlJc w:val="left"/>
      <w:lvlText w:val="•"/>
      <w:numFmt w:val="bullet"/>
      <w:start w:val="1"/>
    </w:lvl>
  </w:abstractNum>
  <w:abstractNum w:abstractNumId="139">
    <w:nsid w:val="7AB49DAF"/>
    <w:multiLevelType w:val="hybridMultilevel"/>
    <w:lvl w:ilvl="0">
      <w:lvlJc w:val="left"/>
      <w:lvlText w:val="•"/>
      <w:numFmt w:val="bullet"/>
      <w:start w:val="1"/>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
      <w:numFmt w:val="bullet"/>
      <w:start w:val="1"/>
    </w:lvl>
  </w:abstractNum>
  <w:abstractNum w:abstractNumId="142">
    <w:nsid w:val="597B4D84"/>
    <w:multiLevelType w:val="hybridMultilevel"/>
    <w:lvl w:ilvl="0">
      <w:lvlJc w:val="left"/>
      <w:lvlText w:val="(%1)"/>
      <w:numFmt w:val="decimal"/>
      <w:start w:val="1"/>
    </w:lvl>
    <w:lvl w:ilvl="1">
      <w:lvlJc w:val="left"/>
      <w:lvlText w:val="(%2)"/>
      <w:numFmt w:val="lowerRoman"/>
      <w:start w:val="1"/>
    </w:lvl>
  </w:abstractNum>
  <w:abstractNum w:abstractNumId="143">
    <w:nsid w:val="F819E7F"/>
    <w:multiLevelType w:val="hybridMultilevel"/>
    <w:lvl w:ilvl="0">
      <w:lvlJc w:val="left"/>
      <w:lvlText w:val="%1"/>
      <w:numFmt w:val="decimal"/>
      <w:start w:val="1"/>
    </w:lvl>
    <w:lvl w:ilvl="1">
      <w:lvlJc w:val="left"/>
      <w:lvlText w:val="(%2)"/>
      <w:numFmt w:val="lowerRoman"/>
      <w:start w:val="3"/>
    </w:lvl>
  </w:abstractNum>
  <w:abstractNum w:abstractNumId="144">
    <w:nsid w:val="57C7D42D"/>
    <w:multiLevelType w:val="hybridMultilevel"/>
    <w:lvl w:ilvl="0">
      <w:lvlJc w:val="left"/>
      <w:lvlText w:val="(%1)"/>
      <w:numFmt w:val="decimal"/>
      <w:start w:val="2"/>
    </w:lvl>
    <w:lvl w:ilvl="1">
      <w:lvlJc w:val="left"/>
      <w:lvlText w:val="%2"/>
      <w:numFmt w:val="lowerRoman"/>
      <w:start w:val="1"/>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43"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jpe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jpeg"/><Relationship Id="rId420" Type="http://schemas.openxmlformats.org/officeDocument/2006/relationships/hyperlink" Target="http://www.sec.gov/Archives/edgar/data/1638097/000114420418034345/tv496350_ex1-1.htm" TargetMode="External"/><Relationship Id="rId421" Type="http://schemas.openxmlformats.org/officeDocument/2006/relationships/hyperlink" Target="http://www.sec.gov/Archives/edgar/data/1638097/000095010317011026/dp82654_ex0301.htm" TargetMode="External"/><Relationship Id="rId422" Type="http://schemas.openxmlformats.org/officeDocument/2006/relationships/hyperlink" Target="http://www.sec.gov/Archives/edgar/data/1638097/000095010317011366/dp82999_ex0302.htm" TargetMode="External"/><Relationship Id="rId423" Type="http://schemas.openxmlformats.org/officeDocument/2006/relationships/hyperlink" Target="http://www.sec.gov/Archives/edgar/data/1638097/000095010317011026/dp82654_ex0401.htm" TargetMode="External"/><Relationship Id="rId424" Type="http://schemas.openxmlformats.org/officeDocument/2006/relationships/hyperlink" Target="http://www.sec.gov/Archives/edgar/data/1638097/000095010318006271/dp89252_ex0402.htm" TargetMode="External"/><Relationship Id="rId425" Type="http://schemas.openxmlformats.org/officeDocument/2006/relationships/hyperlink" Target="http://www.sec.gov/Archives/edgar/data/1638097/000095010318006271/dp89252_ex0403.htm" TargetMode="External"/><Relationship Id="rId426" Type="http://schemas.openxmlformats.org/officeDocument/2006/relationships/hyperlink" Target="http://www.sec.gov/Archives/edgar/data/1638097/000095010317011026/dp82654_ex0404.htm" TargetMode="External"/><Relationship Id="rId427" Type="http://schemas.openxmlformats.org/officeDocument/2006/relationships/hyperlink" Target="http://www.sec.gov/Archives/edgar/data/1638097/000095010317011026/dp82654_ex0405.htm" TargetMode="External"/><Relationship Id="rId428" Type="http://schemas.openxmlformats.org/officeDocument/2006/relationships/hyperlink" Target="http://www.sec.gov/Archives/edgar/data/1638097/000114420418034345/tv496350_ex5-1.htm" TargetMode="External"/><Relationship Id="rId429" Type="http://schemas.openxmlformats.org/officeDocument/2006/relationships/hyperlink" Target="http://www.sec.gov/Archives/edgar/data/1638097/000114420418034345/tv496350_ex8-1.htm" TargetMode="External"/><Relationship Id="rId430" Type="http://schemas.openxmlformats.org/officeDocument/2006/relationships/hyperlink" Target="http://www.sec.gov/Archives/edgar/data/1638097/000095010317011366/dp82999_ex1001.htm" TargetMode="External"/><Relationship Id="rId431" Type="http://schemas.openxmlformats.org/officeDocument/2006/relationships/hyperlink" Target="http://www.sec.gov/Archives/edgar/data/1638097/000095010317011026/dp82654_ex1002.htm" TargetMode="External"/><Relationship Id="rId432" Type="http://schemas.openxmlformats.org/officeDocument/2006/relationships/hyperlink" Target="http://www.sec.gov/Archives/edgar/data/1638097/000095010317011026/dp82654_ex1003.htm" TargetMode="External"/><Relationship Id="rId433" Type="http://schemas.openxmlformats.org/officeDocument/2006/relationships/hyperlink" Target="http://www.sec.gov/Archives/edgar/data/1638097/000095010317011026/dp82654_ex1004.htm" TargetMode="External"/><Relationship Id="rId434" Type="http://schemas.openxmlformats.org/officeDocument/2006/relationships/hyperlink" Target="http://www.sec.gov/Archives/edgar/data/1638097/000095010317011026/dp82654_ex1005.htm" TargetMode="External"/><Relationship Id="rId435" Type="http://schemas.openxmlformats.org/officeDocument/2006/relationships/hyperlink" Target="http://www.sec.gov/Archives/edgar/data/1638097/000095010317011026/dp82654_ex1006.htm" TargetMode="External"/><Relationship Id="rId436" Type="http://schemas.openxmlformats.org/officeDocument/2006/relationships/hyperlink" Target="http://www.sec.gov/Archives/edgar/data/1638097/000095010317011026/dp82654_ex1007.htm" TargetMode="External"/><Relationship Id="rId437" Type="http://schemas.openxmlformats.org/officeDocument/2006/relationships/hyperlink" Target="http://www.sec.gov/Archives/edgar/data/1638097/000095010317011366/dp82999_ex1008.htm" TargetMode="External"/><Relationship Id="rId438" Type="http://schemas.openxmlformats.org/officeDocument/2006/relationships/hyperlink" Target="http://www.sec.gov/Archives/edgar/data/1638097/000095010317011026/dp82654_ex1009.htm" TargetMode="External"/><Relationship Id="rId439" Type="http://schemas.openxmlformats.org/officeDocument/2006/relationships/hyperlink" Target="http://www.sec.gov/Archives/edgar/data/1638097/000114420418000927/tv482133_ex10-10.htm" TargetMode="External"/><Relationship Id="rId440" Type="http://schemas.openxmlformats.org/officeDocument/2006/relationships/hyperlink" Target="http://www.sec.gov/Archives/edgar/data/1638097/000095010317011366/dp82999_ex1012.htm" TargetMode="External"/><Relationship Id="rId441" Type="http://schemas.openxmlformats.org/officeDocument/2006/relationships/hyperlink" Target="http://www.sec.gov/Archives/edgar/data/1638097/000095010317011366/dp82999_ex1013.htm" TargetMode="External"/><Relationship Id="rId442" Type="http://schemas.openxmlformats.org/officeDocument/2006/relationships/hyperlink" Target="http://www.sec.gov/Archives/edgar/data/1638097/000095010317011026/dp82654_ex1014.htm" TargetMode="External"/><Relationship Id="rId444" Type="http://schemas.openxmlformats.org/officeDocument/2006/relationships/hyperlink" Target="http://www.sec.gov/Archives/edgar/data/1638097/000114420418034345/tv496350_ex10-16.htm" TargetMode="External"/><Relationship Id="rId445" Type="http://schemas.openxmlformats.org/officeDocument/2006/relationships/hyperlink" Target="http://www.sec.gov/Archives/edgar/data/1638097/000114420418000927/tv482133_ex10-17.htm" TargetMode="External"/><Relationship Id="rId446" Type="http://schemas.openxmlformats.org/officeDocument/2006/relationships/hyperlink" Target="http://www.sec.gov/Archives/edgar/data/1638097/000114420418034345/tv496350_ex10-18.htm" TargetMode="External"/><Relationship Id="rId447" Type="http://schemas.openxmlformats.org/officeDocument/2006/relationships/hyperlink" Target="http://www.sec.gov/Archives/edgar/data/1638097/000157104918000023/tv482779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2019-12-08T12:44:12Z</dcterms:created>
  <dcterms:modified xsi:type="dcterms:W3CDTF">2019-12-08T12:44:12Z</dcterms:modified>
</cp:coreProperties>
</file>