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Burshtein Gregory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KIRYAT HADASSAH, MINRAV BUILDING,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FIFTH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JERUSALEM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9112002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Entera Bio Ltd.</w:t>
              </w:r>
            </w:hyperlink>
            <w:r>
              <w:rPr/>
              <w:t xml:space="preserve"> [ </w:t>
            </w:r>
            <w:r>
              <w:rPr>
                <w:rFonts w:ascii="Times;serif" w:hAnsi="Times;serif"/>
                <w:color w:val="0000FF"/>
                <w:sz w:val="24"/>
                <w:shd w:fill="FFFFFF" w:val="clear"/>
              </w:rPr>
              <w:t>ENTX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of R&amp;D</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4"/>
        <w:gridCol w:w="773"/>
        <w:gridCol w:w="600"/>
        <w:gridCol w:w="349"/>
        <w:gridCol w:w="932"/>
        <w:gridCol w:w="456"/>
        <w:gridCol w:w="618"/>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0.0000769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87,591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189,033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 a grant of stock-settled restricted stock units. This grant of stock-settled restricted stock units was approved by the Board of Directors (the "Board") of Entera Bio Ltd. (the "Company") on May 7, 2026. This grant was awarded to the Reporting Person in lieu of a cash bonus the Reported Person was otherwise entitled to. The restricted stock units vest ratably on a quarterly basis over a one-year period that began on May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Dana Yaacov-Garbeli,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6002" TargetMode="External"/><Relationship Id="rId5" Type="http://schemas.openxmlformats.org/officeDocument/2006/relationships/hyperlink" Target="http://www.sec.gov/cgi-bin/browse-edgar?action=getcompany&amp;CIK=00016380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3470</Characters>
  <CharactersWithSpaces>4053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