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Entera Bio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of NIS $0.0000769</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12,254,901.00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12,254,901.00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12,254,901.00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(as defined in Item 2(a) below).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172,251,449 ordinary shares, as follows: (a) 49,290,234 ordinary shares outstanding as of May 19, 2026, as reported by the Issuer (as defined in Item 1(a) below) in its definitive proxy statement, filed with the United States Securities and Exchange Commission (the Commission) on June 3, 2026 (the Proxy Statement), plus (b) 122,961,215 ordinary shares issued in a private placement transaction that closed on July 28, 2026, as reported in the Issuer's Current Report on Form 8-K, filed with the Commission on July 28, 2026 (the Private Placement).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12,254,901.00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12,254,901.00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12,254,901.00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172,251,449 ordinary shares, as follows: (a) 49,290,234 ordinary shares outstanding as of May 19, 2026, as reported by the Issuer in the Proxy Statement, plus (b) 122,961,215 ordinary shares issued in the Private Placement.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12,254,901.00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12,254,901.00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12,254,901.00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172,251,449 ordinary shares, as follows: (a) 49,290,234 ordinary shares outstanding as of May 19, 2026, as reported by the Issuer in the Proxy Statement, plus (b) 122,961,215 ordinary shares issued in the Private Placement.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Entera Bio Ltd.</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Kiryat Hadassah, Minrav Building - Fifth Floor, Jerusalem, Israel 9112002</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joint statement on Schedule 13G is being filed by TCG Crossover Fund III, L.P. (TCG Crossover III), TCG Crossover GP III, LLC (TCG Crossover GP III, and together with TCG Crossover III,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III is a limited liability company organized under the laws of the State of Delaware. TCG Crossover III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of NIS $0.0000769</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 of TCG Crossover III and the limited liability company agreement of TCG Crossover GP III,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TCG Crossover GP III,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TCG Crossover Fund III,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 xml:space="preserve">Exhibit 1 - Joint Filing Agreement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1967</Words>
  <Characters>10060</Characters>
  <CharactersWithSpaces>11977</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