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0000FF"/>
        </w:rPr>
        <w:t>Entera Bio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 par value NIS 0.0000769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M40527109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01/03/2025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M40527109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Point72 Asset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2,701,560.00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2,701,560.00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2,701,560.00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M40527109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Point72 Capital Advisors,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2,701,560.00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2,701,560.00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2,701,560.00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6.8 %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M40527109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Steven A. Cohen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2,701,560.00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2,701,560.00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2,701,560.00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Entera Bio Ltd.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1319"/>
        <w:spacing w:after="0"/>
        <w:rPr>
          <w:sz w:val="20"/>
          <w:szCs w:val="20"/>
          <w:color w:val="auto"/>
        </w:rPr>
      </w:pPr>
      <w:r>
        <w:rPr>
          <w:rFonts w:ascii="Times New Roman" w:cs="Times New Roman" w:eastAsia="Times New Roman" w:hAnsi="Times New Roman"/>
          <w:sz w:val="22"/>
          <w:szCs w:val="22"/>
          <w:color w:val="auto"/>
        </w:rPr>
        <w:t>KIRYAT HADASSAH, MINRAV BUILDING FIFTH FLOOR JERUSALEM L3 9112002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ind w:right="20"/>
        <w:spacing w:after="0" w:line="234" w:lineRule="auto"/>
        <w:rPr>
          <w:sz w:val="20"/>
          <w:szCs w:val="20"/>
          <w:color w:val="auto"/>
        </w:rPr>
      </w:pPr>
      <w:r>
        <w:rPr>
          <w:rFonts w:ascii="Times New Roman" w:cs="Times New Roman" w:eastAsia="Times New Roman" w:hAnsi="Times New Roman"/>
          <w:sz w:val="22"/>
          <w:szCs w:val="22"/>
          <w:color w:val="auto"/>
        </w:rPr>
        <w:t>This statement is filed by: (i) Point72 Asset Management, L.P. ("Point72 Asset Management") with respect to the ordinary shares, par value NIS 0.0000769 per share ("Ordinary Shares"), of Entera Bio Ltd. (the "Issuer") held by Point72 Associates, LLC, an investment fund it manages ("Point72 Associates"); (ii) Point72 Capital Advisors, Inc. ("Point72 Capital Advisors Inc.") with respect to Ordinary Shares held by Point72 Associates; and (iii) Steven A. Cohen ("Mr. Cohen") with respect to Ordinary Shares beneficially owned by Point72 Asset Management and Point72 Capital Advisors Inc. Cubist Systematic Strategies, LLC, an advisor under common control with Point72 Asset Management, acts as a sub-advisor with respect to a portion of the Ordinary Shares reported herein. Point72 Asset Management, Point72 Capital Advisors Inc., and Mr. Cohen have entered into a Joint Filing Agreement, a copy of which is filed with this Schedule 13G as Exhibit 99.1, pursuant to which they have agreed to file this Schedule 13G jointly in accordance with the provisions of Rule 13d-1(k) of the Act.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address of the principal business office of Point72 Asset Management, Point72 Capital Advisors Inc., and Mr.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Cohen is 72 Cummings Point Road, Stamford, CT 06902.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960"/>
        <w:spacing w:after="0" w:line="256" w:lineRule="auto"/>
        <w:rPr>
          <w:sz w:val="20"/>
          <w:szCs w:val="20"/>
          <w:color w:val="auto"/>
        </w:rPr>
      </w:pPr>
      <w:r>
        <w:rPr>
          <w:rFonts w:ascii="Times New Roman" w:cs="Times New Roman" w:eastAsia="Times New Roman" w:hAnsi="Times New Roman"/>
          <w:sz w:val="22"/>
          <w:szCs w:val="22"/>
          <w:color w:val="auto"/>
        </w:rPr>
        <w:t>Point72 Asset Management is a Delaware limited partnership. Point72 Capital Advisors Inc. is a Delaware corporation. Mr. Cohen is a United States citizen.</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Ordinary shares, par value NIS 0.0000769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M40527109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40"/>
        <w:spacing w:after="0" w:line="258" w:lineRule="auto"/>
        <w:rPr>
          <w:sz w:val="20"/>
          <w:szCs w:val="20"/>
          <w:color w:val="auto"/>
        </w:rPr>
      </w:pPr>
      <w:r>
        <w:rPr>
          <w:sz w:val="1"/>
          <w:szCs w:val="1"/>
          <w:color w:val="auto"/>
        </w:rPr>
        <w:drawing>
          <wp:inline distT="0" distB="0" distL="0" distR="0">
            <wp:extent cx="128905" cy="12827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8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180"/>
          </w:cols>
          <w:pgMar w:left="360" w:top="355" w:right="439" w:bottom="0" w:gutter="0" w:footer="0" w:header="0"/>
        </w:sectPr>
      </w:pPr>
    </w:p>
    <w:p>
      <w:pPr>
        <w:spacing w:after="0" w:line="33" w:lineRule="exact"/>
        <w:rPr>
          <w:sz w:val="20"/>
          <w:szCs w:val="20"/>
          <w:color w:val="auto"/>
        </w:rPr>
      </w:pPr>
    </w:p>
    <w:p>
      <w:pPr>
        <w:ind w:left="920"/>
        <w:spacing w:after="0" w:line="246" w:lineRule="auto"/>
        <w:rPr>
          <w:sz w:val="20"/>
          <w:szCs w:val="20"/>
          <w:color w:val="auto"/>
        </w:rPr>
      </w:pPr>
      <w:r>
        <w:rPr>
          <w:rFonts w:ascii="Times New Roman" w:cs="Times New Roman" w:eastAsia="Times New Roman" w:hAnsi="Times New Roman"/>
          <w:sz w:val="21"/>
          <w:szCs w:val="21"/>
          <w:color w:val="auto"/>
        </w:rPr>
        <w:t>The information required by Item 4(a) is set forth in Row 9 of the cover page for each of the Reporting Persons and is incorporated herein by reference. Such information is as of the close of business on January 3, 2025. Point72 Asset Management, Point72 Capital Advisors Inc., and Mr. Cohen own directly no Ordinary Shares. Pursuant to an investment management agreement, Point72 Asset Management maintains investment and voting power with respect to the securities held by Point72 Associates. Point72 Capital Advisors Inc. is the general partner of Point72 Asset</w:t>
      </w:r>
    </w:p>
    <w:p>
      <w:pPr>
        <w:spacing w:after="0" w:line="1" w:lineRule="exact"/>
        <w:rPr>
          <w:sz w:val="20"/>
          <w:szCs w:val="20"/>
          <w:color w:val="auto"/>
        </w:rPr>
      </w:pPr>
    </w:p>
    <w:p>
      <w:pPr>
        <w:ind w:left="920" w:hanging="912"/>
        <w:spacing w:after="0" w:line="232"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 Mr. Cohen controls each of Point72 Asset Management and Point72 Capital Advisors Inc. The filing of this statement should not be construed as an admission that any of the foregoing persons or any Reporting Person is, for the purposes of Section 13 of the Act, the beneficial owner of the Ordinary Shares reported herein. The aggregate percentage of the Ordinary Shares reported to be beneficially owned by each Reporting Person is based on 39,532,220 Ordinary Shares outstanding which is the sum of: (i) 36,832,220 Ordinary Shares outstanding as of November 4, 2024, as reported in the Issuer's Quarterly Report on Form 10-Q for the quarterly period ended September 30, 2024, filed with the Securities and Exchange Commission on November 8, 2024; and (ii) 2,700,000 Ordinary Shares purchased by Point72 Associates in the at the market offering by the Issuer.</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6.8 %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1100"/>
          </w:cols>
          <w:pgMar w:left="360" w:top="355" w:right="439" w:bottom="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 is set forth in Row 5 of the cover page for each of the Reporting Persons and is incorporated herein by reference. Such information is as of the close of business on January 3, 2025.</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21"/>
          <w:szCs w:val="21"/>
          <w:color w:val="auto"/>
        </w:rPr>
        <w:t>The information required by Item 4(c)(ii) is set forth in Row 6 of the cover page for each of the Reporting Persons and is incorporated herein by reference. Such information is as of the close of business on January 3, 2025.</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21"/>
          <w:szCs w:val="21"/>
          <w:color w:val="auto"/>
        </w:rPr>
        <w:t>The information required by Item 4(c)(iii) is set forth in Row 7 of the cover page for each of the Reporting Persons and is incorporated herein by reference. Such information is as of the close of business on January 3, 2025.</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21"/>
          <w:szCs w:val="21"/>
          <w:color w:val="auto"/>
        </w:rPr>
        <w:t>The information required by Item 4(c)(iv) is set forth in Row 8 of the cover page for each of the Reporting Persons and is incorporated herein by reference. Such information is as of the close of business on January 3, 2025.</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22"/>
          <w:szCs w:val="22"/>
          <w:color w:val="auto"/>
        </w:rPr>
        <w:t>Point72 Associates has the right to receive or the power to direct the receipt of dividends from, or the proceeds from the sale of, more than 5 percent of the outstanding Ordinary Shares.</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355" w:right="399" w:bottom="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Point72 Asset Management, L.P.</w:t>
      </w:r>
    </w:p>
    <w:p>
      <w:pPr>
        <w:spacing w:after="0" w:line="152"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Jason M. Colombo</w:t>
      </w:r>
    </w:p>
    <w:p>
      <w:pPr>
        <w:spacing w:after="0" w:line="4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Name/Title: Jason M. Colombo, Authorized Person</w:t>
      </w:r>
    </w:p>
    <w:p>
      <w:pPr>
        <w:spacing w:after="0" w:line="44"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01/06/2025</w:t>
      </w:r>
    </w:p>
    <w:p>
      <w:pPr>
        <w:spacing w:after="0" w:line="15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Point72 Capital Advisors, Inc.</w:t>
      </w:r>
    </w:p>
    <w:p>
      <w:pPr>
        <w:spacing w:after="0" w:line="152"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Jason M. Colombo</w:t>
      </w:r>
    </w:p>
    <w:p>
      <w:pPr>
        <w:spacing w:after="0" w:line="4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Name/Title: Jason M. Colombo, Authorized Person</w:t>
      </w:r>
    </w:p>
    <w:p>
      <w:pPr>
        <w:spacing w:after="0" w:line="44"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01/06/2025</w:t>
      </w:r>
    </w:p>
    <w:p>
      <w:pPr>
        <w:spacing w:after="0" w:line="15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Steven A. Cohen</w:t>
      </w:r>
    </w:p>
    <w:p>
      <w:pPr>
        <w:spacing w:after="0" w:line="152"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Jason M. Colombo</w:t>
      </w:r>
    </w:p>
    <w:p>
      <w:pPr>
        <w:sectPr>
          <w:pgSz w:w="11900" w:h="16838" w:orient="portrait"/>
          <w:cols w:equalWidth="0" w:num="1">
            <w:col w:w="11140"/>
          </w:cols>
          <w:pgMar w:left="360" w:top="355" w:right="399" w:bottom="0" w:gutter="0" w:footer="0" w:header="0"/>
          <w:type w:val="continuous"/>
        </w:sectPr>
      </w:pPr>
    </w:p>
    <w:bookmarkStart w:id="5" w:name="page6"/>
    <w:bookmarkEnd w:id="5"/>
    <w:p>
      <w:pPr>
        <w:ind w:left="4640"/>
        <w:spacing w:after="0"/>
        <w:rPr>
          <w:sz w:val="20"/>
          <w:szCs w:val="20"/>
          <w:color w:val="auto"/>
        </w:rPr>
      </w:pPr>
      <w:r>
        <w:rPr>
          <w:rFonts w:ascii="Times New Roman" w:cs="Times New Roman" w:eastAsia="Times New Roman" w:hAnsi="Times New Roman"/>
          <w:sz w:val="21"/>
          <w:szCs w:val="21"/>
          <w:color w:val="auto"/>
        </w:rPr>
        <w:t>Name/Title: Jason M. Colombo, Authorized Person</w:t>
      </w:r>
    </w:p>
    <w:p>
      <w:pPr>
        <w:spacing w:after="0" w:line="56"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01/06/2025</w:t>
      </w:r>
    </w:p>
    <w:p>
      <w:pPr>
        <w:spacing w:after="0" w:line="108" w:lineRule="exact"/>
        <w:rPr>
          <w:sz w:val="20"/>
          <w:szCs w:val="20"/>
          <w:color w:val="auto"/>
        </w:rPr>
      </w:pPr>
    </w:p>
    <w:p>
      <w:pPr>
        <w:jc w:val="center"/>
        <w:ind w:right="695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99.1: Joint Filing Agreement</w:t>
      </w:r>
    </w:p>
    <w:p>
      <w:pPr>
        <w:sectPr>
          <w:pgSz w:w="11900" w:h="16838" w:orient="portrait"/>
          <w:cols w:equalWidth="0" w:num="1">
            <w:col w:w="10099"/>
          </w:cols>
          <w:pgMar w:left="360" w:top="111" w:right="1440"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JOINT ACQUISITION STATEMENT</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PURSUANT TO RULE 13d-1(k)</w:t>
      </w:r>
    </w:p>
    <w:p>
      <w:pPr>
        <w:spacing w:after="0" w:line="19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January 6,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POINT72 ASSET MANAGEMENT, L.P.</w:t>
      </w:r>
    </w:p>
    <w:p>
      <w:pPr>
        <w:spacing w:after="0" w:line="200" w:lineRule="exact"/>
        <w:rPr>
          <w:sz w:val="20"/>
          <w:szCs w:val="20"/>
          <w:color w:val="auto"/>
        </w:rPr>
      </w:pPr>
    </w:p>
    <w:p>
      <w:pPr>
        <w:spacing w:after="0" w:line="2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/s/ Jason M. Colombo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5661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Jason M. Colombo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Authorized Person</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POINT72 CAPITAL ADVISORS, INC.</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Jason M. Colombo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5661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Jason M. Colombo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Authorized Person</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STEVEN A. COHEN</w:t>
      </w:r>
    </w:p>
    <w:p>
      <w:pPr>
        <w:spacing w:after="0" w:line="200" w:lineRule="exact"/>
        <w:rPr>
          <w:sz w:val="20"/>
          <w:szCs w:val="20"/>
          <w:color w:val="auto"/>
        </w:rPr>
      </w:pPr>
    </w:p>
    <w:p>
      <w:pPr>
        <w:spacing w:after="0" w:line="2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/s/ Jason M. Colombo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56616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Jason M. Colombo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Authorized Person</w:t>
      </w:r>
    </w:p>
    <w:sectPr>
      <w:pgSz w:w="11900" w:h="16838" w:orient="portrait"/>
      <w:cols w:equalWidth="0" w:num="1">
        <w:col w:w="11240"/>
      </w:cols>
      <w:pgMar w:left="320" w:top="1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2025-01-06T15:18:52Z</dcterms:created>
  <dcterms:modified xsi:type="dcterms:W3CDTF">2025-01-06T15:18:52Z</dcterms:modified>
</cp:coreProperties>
</file>