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_________________</w:t>
      </w:r>
    </w:p>
    <w:p>
      <w:pPr>
        <w:spacing w:after="0" w:line="237"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24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_______________________________</w:t>
      </w:r>
    </w:p>
    <w:p>
      <w:pPr>
        <w:spacing w:after="0" w:line="19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7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7"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37"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6"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3" w:lineRule="exact"/>
        <w:rPr>
          <w:sz w:val="24"/>
          <w:szCs w:val="24"/>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1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9"/>
          <w:szCs w:val="29"/>
          <w:b w:val="1"/>
          <w:bCs w:val="1"/>
          <w:color w:val="auto"/>
        </w:rPr>
        <w:t>ENTERA BIO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6"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w:t>
      </w:r>
    </w:p>
    <w:p>
      <w:pPr>
        <w:spacing w:after="0" w:line="2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39"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6"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of</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ENTERA BIO LTD.</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Tuesday, July 14, 2026, 8:00 AM Eastern Time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 Kiryat Hadassah, Minrav Building – Fifth Floor, Jerusalem Israel 9112002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160020</wp:posOffset>
            </wp:positionV>
            <wp:extent cx="3566160" cy="608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608330"/>
                    </a:xfrm>
                    <a:prstGeom prst="rect">
                      <a:avLst/>
                    </a:prstGeom>
                    <a:noFill/>
                  </pic:spPr>
                </pic:pic>
              </a:graphicData>
            </a:graphic>
          </wp:anchor>
        </w:drawing>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COMPANY NUMBER</w:t>
      </w:r>
    </w:p>
    <w:p>
      <w:pPr>
        <w:spacing w:after="0" w:line="10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ACCOUNT NUMBER</w:t>
      </w:r>
    </w:p>
    <w:p>
      <w:pPr>
        <w:spacing w:after="0" w:line="104"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CONTROL NUMBER</w:t>
      </w:r>
    </w:p>
    <w:p>
      <w:pPr>
        <w:spacing w:after="0" w:line="293"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This communication presents only an overview of the more complete proxy materials that are available to you on the Internet. </w:t>
      </w:r>
      <w:r>
        <w:rPr>
          <w:rFonts w:ascii="Times New Roman" w:cs="Times New Roman" w:eastAsia="Times New Roman" w:hAnsi="Times New Roman"/>
          <w:sz w:val="18"/>
          <w:szCs w:val="18"/>
          <w:color w:val="auto"/>
        </w:rPr>
        <w:t>We encourage you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and review all of the important information contained in the proxy materials before voting.</w:t>
      </w:r>
    </w:p>
    <w:p>
      <w:pPr>
        <w:spacing w:after="0" w:line="154" w:lineRule="exact"/>
        <w:rPr>
          <w:sz w:val="20"/>
          <w:szCs w:val="20"/>
          <w:color w:val="auto"/>
        </w:rPr>
      </w:pPr>
    </w:p>
    <w:p>
      <w:pPr>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If you want to receive a paper or e-mail copy of the proxy materials you must request one. </w:t>
      </w:r>
      <w:r>
        <w:rPr>
          <w:rFonts w:ascii="Times New Roman" w:cs="Times New Roman" w:eastAsia="Times New Roman" w:hAnsi="Times New Roman"/>
          <w:sz w:val="18"/>
          <w:szCs w:val="18"/>
          <w:color w:val="auto"/>
        </w:rPr>
        <w:t>There is no charge to you for requesting a copy.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facilitate timely delivery please make the request as instructed below before June 30, 2026.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Please visit </w:t>
      </w:r>
      <w:r>
        <w:rPr>
          <w:rFonts w:ascii="Times New Roman" w:cs="Times New Roman" w:eastAsia="Times New Roman" w:hAnsi="Times New Roman"/>
          <w:sz w:val="18"/>
          <w:szCs w:val="18"/>
          <w:b w:val="1"/>
          <w:bCs w:val="1"/>
          <w:u w:val="single" w:color="auto"/>
          <w:color w:val="auto"/>
        </w:rPr>
        <w:t>www.astproxyportal.com/ast/22270</w:t>
      </w:r>
      <w:r>
        <w:rPr>
          <w:rFonts w:ascii="Times New Roman" w:cs="Times New Roman" w:eastAsia="Times New Roman" w:hAnsi="Times New Roman"/>
          <w:sz w:val="18"/>
          <w:szCs w:val="18"/>
          <w:b w:val="1"/>
          <w:bCs w:val="1"/>
          <w:color w:val="auto"/>
        </w:rPr>
        <w:t>, where the following materials are available for view:</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54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Notice of Meeting</w:t>
            </w:r>
          </w:p>
        </w:tc>
      </w:tr>
      <w:tr>
        <w:trPr>
          <w:trHeight w:val="216"/>
        </w:trPr>
        <w:tc>
          <w:tcPr>
            <w:tcW w:w="254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Proxy Statement</w:t>
            </w:r>
          </w:p>
        </w:tc>
      </w:tr>
      <w:tr>
        <w:trPr>
          <w:trHeight w:val="216"/>
        </w:trPr>
        <w:tc>
          <w:tcPr>
            <w:tcW w:w="254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Proxy Card</w:t>
            </w:r>
          </w:p>
        </w:tc>
      </w:tr>
      <w:tr>
        <w:trPr>
          <w:trHeight w:val="212"/>
        </w:trPr>
        <w:tc>
          <w:tcPr>
            <w:tcW w:w="2540" w:type="dxa"/>
            <w:vAlign w:val="bottom"/>
          </w:tcPr>
          <w:p>
            <w:pPr>
              <w:spacing w:after="0"/>
              <w:rPr>
                <w:sz w:val="18"/>
                <w:szCs w:val="18"/>
                <w:color w:val="auto"/>
              </w:rPr>
            </w:pP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82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Form 10-K</w:t>
            </w:r>
          </w:p>
        </w:tc>
      </w:tr>
      <w:tr>
        <w:trPr>
          <w:trHeight w:val="216"/>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REQUEST MATERIAL:</w:t>
            </w:r>
          </w:p>
        </w:tc>
        <w:tc>
          <w:tcPr>
            <w:tcW w:w="870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TELEPHONE: 1-888-Proxy-NA (1-888-776-9962) or +1-201-299-6210 (worldwide)</w:t>
            </w:r>
          </w:p>
        </w:tc>
      </w:tr>
      <w:tr>
        <w:trPr>
          <w:trHeight w:val="229"/>
        </w:trPr>
        <w:tc>
          <w:tcPr>
            <w:tcW w:w="2540" w:type="dxa"/>
            <w:vAlign w:val="bottom"/>
          </w:tcPr>
          <w:p>
            <w:pPr>
              <w:spacing w:after="0"/>
              <w:rPr>
                <w:sz w:val="19"/>
                <w:szCs w:val="19"/>
                <w:color w:val="auto"/>
              </w:rPr>
            </w:pPr>
          </w:p>
        </w:tc>
        <w:tc>
          <w:tcPr>
            <w:tcW w:w="870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E-MAIL: helpAST@equiniti.com</w:t>
            </w:r>
          </w:p>
        </w:tc>
      </w:tr>
      <w:tr>
        <w:trPr>
          <w:trHeight w:val="198"/>
        </w:trPr>
        <w:tc>
          <w:tcPr>
            <w:tcW w:w="2540" w:type="dxa"/>
            <w:vAlign w:val="bottom"/>
          </w:tcPr>
          <w:p>
            <w:pPr>
              <w:spacing w:after="0"/>
              <w:rPr>
                <w:sz w:val="17"/>
                <w:szCs w:val="17"/>
                <w:color w:val="auto"/>
              </w:rPr>
            </w:pPr>
          </w:p>
        </w:tc>
        <w:tc>
          <w:tcPr>
            <w:tcW w:w="8700" w:type="dxa"/>
            <w:vAlign w:val="bottom"/>
            <w:gridSpan w:val="6"/>
          </w:tcPr>
          <w:p>
            <w:pPr>
              <w:ind w:left="280"/>
              <w:spacing w:after="0" w:line="198" w:lineRule="exact"/>
              <w:rPr>
                <w:sz w:val="20"/>
                <w:szCs w:val="20"/>
                <w:color w:val="auto"/>
              </w:rPr>
            </w:pPr>
            <w:r>
              <w:rPr>
                <w:rFonts w:ascii="Times New Roman" w:cs="Times New Roman" w:eastAsia="Times New Roman" w:hAnsi="Times New Roman"/>
                <w:sz w:val="18"/>
                <w:szCs w:val="18"/>
                <w:b w:val="1"/>
                <w:bCs w:val="1"/>
                <w:color w:val="auto"/>
              </w:rPr>
              <w:t>WEBSITE: us.astfinancial.com/OnlineProxyVoting/ProxyVoting/RequestMaterials</w:t>
            </w:r>
          </w:p>
        </w:tc>
      </w:tr>
      <w:tr>
        <w:trPr>
          <w:trHeight w:val="20"/>
        </w:trPr>
        <w:tc>
          <w:tcPr>
            <w:tcW w:w="25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09"/>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 VOTE:</w:t>
            </w:r>
          </w:p>
        </w:tc>
        <w:tc>
          <w:tcPr>
            <w:tcW w:w="870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w w:val="99"/>
              </w:rPr>
              <w:t xml:space="preserve">ONLINE: </w:t>
            </w:r>
            <w:r>
              <w:rPr>
                <w:rFonts w:ascii="Times New Roman" w:cs="Times New Roman" w:eastAsia="Times New Roman" w:hAnsi="Times New Roman"/>
                <w:sz w:val="18"/>
                <w:szCs w:val="18"/>
                <w:color w:val="auto"/>
                <w:w w:val="99"/>
              </w:rPr>
              <w:t>To access your online proxy card, please visit</w:t>
            </w:r>
            <w:r>
              <w:rPr>
                <w:rFonts w:ascii="Times New Roman" w:cs="Times New Roman" w:eastAsia="Times New Roman" w:hAnsi="Times New Roman"/>
                <w:sz w:val="18"/>
                <w:szCs w:val="18"/>
                <w:b w:val="1"/>
                <w:bCs w:val="1"/>
                <w:color w:val="auto"/>
                <w:w w:val="99"/>
              </w:rPr>
              <w:t xml:space="preserve"> www.voteproxy.com </w:t>
            </w:r>
            <w:r>
              <w:rPr>
                <w:rFonts w:ascii="Times New Roman" w:cs="Times New Roman" w:eastAsia="Times New Roman" w:hAnsi="Times New Roman"/>
                <w:sz w:val="18"/>
                <w:szCs w:val="18"/>
                <w:color w:val="auto"/>
                <w:w w:val="99"/>
              </w:rPr>
              <w:t>and follow the on-screen instructions</w:t>
            </w:r>
          </w:p>
        </w:tc>
      </w:tr>
      <w:tr>
        <w:trPr>
          <w:trHeight w:val="20"/>
        </w:trPr>
        <w:tc>
          <w:tcPr>
            <w:tcW w:w="254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r>
      <w:tr>
        <w:trPr>
          <w:trHeight w:val="214"/>
        </w:trPr>
        <w:tc>
          <w:tcPr>
            <w:tcW w:w="2540" w:type="dxa"/>
            <w:vAlign w:val="bottom"/>
          </w:tcPr>
          <w:p>
            <w:pPr>
              <w:spacing w:after="0"/>
              <w:rPr>
                <w:sz w:val="18"/>
                <w:szCs w:val="18"/>
                <w:color w:val="auto"/>
              </w:rPr>
            </w:pPr>
          </w:p>
        </w:tc>
        <w:tc>
          <w:tcPr>
            <w:tcW w:w="870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or scan the QR code with your smartphone. Have your proxy card available when you access the web page.</w:t>
            </w:r>
          </w:p>
        </w:tc>
      </w:tr>
      <w:tr>
        <w:trPr>
          <w:trHeight w:val="238"/>
        </w:trPr>
        <w:tc>
          <w:tcPr>
            <w:tcW w:w="2540" w:type="dxa"/>
            <w:vAlign w:val="bottom"/>
          </w:tcPr>
          <w:p>
            <w:pPr>
              <w:spacing w:after="0"/>
              <w:rPr>
                <w:sz w:val="20"/>
                <w:szCs w:val="20"/>
                <w:color w:val="auto"/>
              </w:rPr>
            </w:pPr>
          </w:p>
        </w:tc>
        <w:tc>
          <w:tcPr>
            <w:tcW w:w="870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rPr>
              <w:t xml:space="preserve">TELEPHONE: </w:t>
            </w:r>
            <w:r>
              <w:rPr>
                <w:rFonts w:ascii="Times New Roman" w:cs="Times New Roman" w:eastAsia="Times New Roman" w:hAnsi="Times New Roman"/>
                <w:sz w:val="18"/>
                <w:szCs w:val="18"/>
                <w:color w:val="auto"/>
              </w:rPr>
              <w:t>Call toll-free</w:t>
            </w:r>
            <w:r>
              <w:rPr>
                <w:rFonts w:ascii="Times New Roman" w:cs="Times New Roman" w:eastAsia="Times New Roman" w:hAnsi="Times New Roman"/>
                <w:sz w:val="18"/>
                <w:szCs w:val="18"/>
                <w:b w:val="1"/>
                <w:bCs w:val="1"/>
                <w:color w:val="auto"/>
              </w:rPr>
              <w:t xml:space="preserve"> 1-800-PROXIES (1-800-776-9437) </w:t>
            </w:r>
            <w:r>
              <w:rPr>
                <w:rFonts w:ascii="Times New Roman" w:cs="Times New Roman" w:eastAsia="Times New Roman" w:hAnsi="Times New Roman"/>
                <w:sz w:val="18"/>
                <w:szCs w:val="18"/>
                <w:color w:val="auto"/>
              </w:rPr>
              <w:t>in the United States or</w:t>
            </w:r>
            <w:r>
              <w:rPr>
                <w:rFonts w:ascii="Times New Roman" w:cs="Times New Roman" w:eastAsia="Times New Roman" w:hAnsi="Times New Roman"/>
                <w:sz w:val="18"/>
                <w:szCs w:val="18"/>
                <w:b w:val="1"/>
                <w:bCs w:val="1"/>
                <w:color w:val="auto"/>
              </w:rPr>
              <w:t xml:space="preserve"> +1-201-299-4446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-410845</wp:posOffset>
            </wp:positionV>
            <wp:extent cx="386080" cy="437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86080" cy="437515"/>
                    </a:xfrm>
                    <a:prstGeom prst="rect">
                      <a:avLst/>
                    </a:prstGeom>
                    <a:noFill/>
                  </pic:spPr>
                </pic:pic>
              </a:graphicData>
            </a:graphic>
          </wp:anchor>
        </w:drawing>
      </w:r>
    </w:p>
    <w:p>
      <w:pPr>
        <w:ind w:left="2820"/>
        <w:spacing w:after="0" w:line="258" w:lineRule="auto"/>
        <w:rPr>
          <w:sz w:val="20"/>
          <w:szCs w:val="20"/>
          <w:color w:val="auto"/>
        </w:rPr>
      </w:pPr>
      <w:r>
        <w:rPr>
          <w:rFonts w:ascii="Times New Roman" w:cs="Times New Roman" w:eastAsia="Times New Roman" w:hAnsi="Times New Roman"/>
          <w:sz w:val="18"/>
          <w:szCs w:val="18"/>
          <w:color w:val="auto"/>
        </w:rPr>
        <w:t>worldwide from any touch-tone telephone and follow the instructions. Have your proxy card available when you call.</w:t>
      </w:r>
    </w:p>
    <w:p>
      <w:pPr>
        <w:ind w:left="2820"/>
        <w:spacing w:after="0"/>
        <w:rPr>
          <w:sz w:val="20"/>
          <w:szCs w:val="20"/>
          <w:color w:val="auto"/>
        </w:rPr>
      </w:pPr>
      <w:r>
        <w:rPr>
          <w:rFonts w:ascii="Times New Roman" w:cs="Times New Roman" w:eastAsia="Times New Roman" w:hAnsi="Times New Roman"/>
          <w:sz w:val="17"/>
          <w:szCs w:val="17"/>
          <w:color w:val="auto"/>
        </w:rPr>
        <w:t xml:space="preserve">Vote online or by phone until 11:59 PM Eastern Time the day before the meeting. </w:t>
      </w:r>
      <w:r>
        <w:rPr>
          <w:rFonts w:ascii="Times New Roman" w:cs="Times New Roman" w:eastAsia="Times New Roman" w:hAnsi="Times New Roman"/>
          <w:sz w:val="17"/>
          <w:szCs w:val="17"/>
          <w:b w:val="1"/>
          <w:bCs w:val="1"/>
          <w:color w:val="auto"/>
        </w:rPr>
        <w:t>IN PERSON:</w:t>
      </w:r>
      <w:r>
        <w:rPr>
          <w:rFonts w:ascii="Times New Roman" w:cs="Times New Roman" w:eastAsia="Times New Roman" w:hAnsi="Times New Roman"/>
          <w:sz w:val="17"/>
          <w:szCs w:val="17"/>
          <w:color w:val="auto"/>
        </w:rPr>
        <w:t xml:space="preserve"> You may vote your</w:t>
      </w:r>
    </w:p>
    <w:p>
      <w:pPr>
        <w:spacing w:after="0" w:line="34" w:lineRule="exact"/>
        <w:rPr>
          <w:sz w:val="20"/>
          <w:szCs w:val="20"/>
          <w:color w:val="auto"/>
        </w:rPr>
      </w:pPr>
    </w:p>
    <w:p>
      <w:pPr>
        <w:ind w:left="2820"/>
        <w:spacing w:after="0" w:line="276" w:lineRule="auto"/>
        <w:rPr>
          <w:sz w:val="20"/>
          <w:szCs w:val="20"/>
          <w:color w:val="auto"/>
        </w:rPr>
      </w:pPr>
      <w:r>
        <w:rPr>
          <w:rFonts w:ascii="Times New Roman" w:cs="Times New Roman" w:eastAsia="Times New Roman" w:hAnsi="Times New Roman"/>
          <w:sz w:val="18"/>
          <w:szCs w:val="18"/>
          <w:color w:val="auto"/>
        </w:rPr>
        <w:t xml:space="preserve">shares in person by attending the Annual Meeting. </w:t>
      </w:r>
      <w:r>
        <w:rPr>
          <w:rFonts w:ascii="Times New Roman" w:cs="Times New Roman" w:eastAsia="Times New Roman" w:hAnsi="Times New Roman"/>
          <w:sz w:val="18"/>
          <w:szCs w:val="18"/>
          <w:b w:val="1"/>
          <w:bCs w:val="1"/>
          <w:color w:val="auto"/>
        </w:rPr>
        <w:t>MAIL:</w:t>
      </w:r>
      <w:r>
        <w:rPr>
          <w:rFonts w:ascii="Times New Roman" w:cs="Times New Roman" w:eastAsia="Times New Roman" w:hAnsi="Times New Roman"/>
          <w:sz w:val="18"/>
          <w:szCs w:val="18"/>
          <w:color w:val="auto"/>
        </w:rPr>
        <w:t xml:space="preserve"> You may request a card by following the instructions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5568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568950"/>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Please note that you cannot use this notice to vote by mail.</w:t>
      </w:r>
    </w:p>
    <w:p>
      <w:pPr>
        <w:spacing w:after="0" w:line="20" w:lineRule="exact"/>
        <w:rPr>
          <w:sz w:val="20"/>
          <w:szCs w:val="20"/>
          <w:color w:val="auto"/>
        </w:rPr>
      </w:pPr>
      <w:r>
        <w:rPr>
          <w:sz w:val="20"/>
          <w:szCs w:val="20"/>
          <w:color w:val="auto"/>
        </w:rPr>
        <w:br w:type="column"/>
      </w:r>
    </w:p>
    <w:p>
      <w:pPr>
        <w:ind w:left="316" w:right="40" w:hanging="319"/>
        <w:spacing w:after="0" w:line="289" w:lineRule="auto"/>
        <w:tabs>
          <w:tab w:leader="none" w:pos="295" w:val="left"/>
        </w:tabs>
        <w:rPr>
          <w:sz w:val="20"/>
          <w:szCs w:val="20"/>
          <w:color w:val="auto"/>
        </w:rPr>
      </w:pPr>
      <w:r>
        <w:rPr>
          <w:rFonts w:ascii="Times New Roman" w:cs="Times New Roman" w:eastAsia="Times New Roman" w:hAnsi="Times New Roman"/>
          <w:sz w:val="18"/>
          <w:szCs w:val="18"/>
          <w:color w:val="auto"/>
        </w:rPr>
        <w:t>1a.</w:t>
        <w:tab/>
        <w:t>To elect Mr. Sean Ellis as a Class III member of the Board of Directors of the Company (the “Board”) until the 2029 Annual Meeting.</w:t>
      </w:r>
    </w:p>
    <w:p>
      <w:pPr>
        <w:spacing w:after="0" w:line="1" w:lineRule="exact"/>
        <w:rPr>
          <w:sz w:val="20"/>
          <w:szCs w:val="20"/>
          <w:color w:val="auto"/>
        </w:rPr>
      </w:pPr>
    </w:p>
    <w:p>
      <w:pPr>
        <w:jc w:val="both"/>
        <w:ind w:left="316" w:right="20" w:hanging="319"/>
        <w:spacing w:after="0" w:line="261" w:lineRule="auto"/>
        <w:tabs>
          <w:tab w:leader="none" w:pos="295" w:val="left"/>
        </w:tabs>
        <w:rPr>
          <w:sz w:val="20"/>
          <w:szCs w:val="20"/>
          <w:color w:val="auto"/>
        </w:rPr>
      </w:pPr>
      <w:r>
        <w:rPr>
          <w:rFonts w:ascii="Times New Roman" w:cs="Times New Roman" w:eastAsia="Times New Roman" w:hAnsi="Times New Roman"/>
          <w:sz w:val="18"/>
          <w:szCs w:val="18"/>
          <w:color w:val="auto"/>
        </w:rPr>
        <w:t>1b.</w:t>
        <w:tab/>
        <w:t>To elect Mr. Steven D. Rubin as a Class III member of the Board until the 2029 Annual Meeting. 1c. To elect Mr. Geno J. Germano as a Class</w:t>
      </w:r>
    </w:p>
    <w:p>
      <w:pPr>
        <w:ind w:left="316"/>
        <w:spacing w:after="0"/>
        <w:rPr>
          <w:sz w:val="20"/>
          <w:szCs w:val="20"/>
          <w:color w:val="auto"/>
        </w:rPr>
      </w:pPr>
      <w:r>
        <w:rPr>
          <w:rFonts w:ascii="Times New Roman" w:cs="Times New Roman" w:eastAsia="Times New Roman" w:hAnsi="Times New Roman"/>
          <w:sz w:val="18"/>
          <w:szCs w:val="18"/>
          <w:color w:val="auto"/>
        </w:rPr>
        <w:t>III member of the Board until the 2029 Annual Meeting.</w:t>
      </w:r>
    </w:p>
    <w:p>
      <w:pPr>
        <w:spacing w:after="0" w:line="44" w:lineRule="exact"/>
        <w:rPr>
          <w:sz w:val="20"/>
          <w:szCs w:val="20"/>
          <w:color w:val="auto"/>
        </w:rPr>
      </w:pPr>
    </w:p>
    <w:p>
      <w:pPr>
        <w:jc w:val="both"/>
        <w:ind w:left="316" w:right="20" w:hanging="316"/>
        <w:spacing w:after="0" w:line="266" w:lineRule="auto"/>
        <w:tabs>
          <w:tab w:leader="none" w:pos="3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amended compensation terms, as described in the accompanying proxy statement, for the Company’s non-executive directors.</w:t>
      </w:r>
    </w:p>
    <w:p>
      <w:pPr>
        <w:spacing w:after="0" w:line="13" w:lineRule="exact"/>
        <w:rPr>
          <w:rFonts w:ascii="Times New Roman" w:cs="Times New Roman" w:eastAsia="Times New Roman" w:hAnsi="Times New Roman"/>
          <w:sz w:val="18"/>
          <w:szCs w:val="18"/>
          <w:color w:val="auto"/>
        </w:rPr>
      </w:pPr>
    </w:p>
    <w:p>
      <w:pPr>
        <w:ind w:left="316" w:right="40" w:hanging="316"/>
        <w:spacing w:after="0" w:line="281" w:lineRule="auto"/>
        <w:tabs>
          <w:tab w:leader="none" w:pos="3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share-based compensation, as described in the accompanying proxy statement, for Steven D. Rubin, a Director.</w:t>
      </w:r>
    </w:p>
    <w:p>
      <w:pPr>
        <w:spacing w:after="0" w:line="1" w:lineRule="exact"/>
        <w:rPr>
          <w:rFonts w:ascii="Times New Roman" w:cs="Times New Roman" w:eastAsia="Times New Roman" w:hAnsi="Times New Roman"/>
          <w:sz w:val="18"/>
          <w:szCs w:val="18"/>
          <w:color w:val="auto"/>
        </w:rPr>
      </w:pPr>
    </w:p>
    <w:p>
      <w:pPr>
        <w:jc w:val="both"/>
        <w:ind w:left="316" w:right="20" w:hanging="316"/>
        <w:spacing w:after="0" w:line="266" w:lineRule="auto"/>
        <w:tabs>
          <w:tab w:leader="none" w:pos="3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share-based compensation, as described in the accompanying proxy statement, for Geno J. Germano, the Chairman of the Board.</w:t>
      </w:r>
    </w:p>
    <w:p>
      <w:pPr>
        <w:spacing w:after="0" w:line="13" w:lineRule="exact"/>
        <w:rPr>
          <w:rFonts w:ascii="Times New Roman" w:cs="Times New Roman" w:eastAsia="Times New Roman" w:hAnsi="Times New Roman"/>
          <w:sz w:val="18"/>
          <w:szCs w:val="18"/>
          <w:color w:val="auto"/>
        </w:rPr>
      </w:pPr>
    </w:p>
    <w:p>
      <w:pPr>
        <w:ind w:left="316" w:right="40" w:hanging="316"/>
        <w:spacing w:after="0" w:line="281" w:lineRule="auto"/>
        <w:tabs>
          <w:tab w:leader="none" w:pos="3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one-time grant of compensation, as described in the accompanying proxy statement, for Sean Ellis, a Director.</w:t>
      </w:r>
    </w:p>
    <w:p>
      <w:pPr>
        <w:spacing w:after="0" w:line="1" w:lineRule="exact"/>
        <w:rPr>
          <w:rFonts w:ascii="Times New Roman" w:cs="Times New Roman" w:eastAsia="Times New Roman" w:hAnsi="Times New Roman"/>
          <w:sz w:val="18"/>
          <w:szCs w:val="18"/>
          <w:color w:val="auto"/>
        </w:rPr>
      </w:pPr>
    </w:p>
    <w:p>
      <w:pPr>
        <w:jc w:val="both"/>
        <w:ind w:left="316" w:right="20" w:hanging="316"/>
        <w:spacing w:after="0" w:line="266" w:lineRule="auto"/>
        <w:tabs>
          <w:tab w:leader="none" w:pos="3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one-time grant of compensation, as described in the accompanying proxy statement, for Miranda Toledano, the Company’s Chief Executive Officer and a Director.</w:t>
      </w:r>
    </w:p>
    <w:p>
      <w:pPr>
        <w:spacing w:after="0" w:line="13" w:lineRule="exact"/>
        <w:rPr>
          <w:rFonts w:ascii="Times New Roman" w:cs="Times New Roman" w:eastAsia="Times New Roman" w:hAnsi="Times New Roman"/>
          <w:sz w:val="18"/>
          <w:szCs w:val="18"/>
          <w:color w:val="auto"/>
        </w:rPr>
      </w:pPr>
    </w:p>
    <w:p>
      <w:pPr>
        <w:jc w:val="both"/>
        <w:ind w:left="316" w:right="20" w:hanging="316"/>
        <w:spacing w:after="0" w:line="261" w:lineRule="auto"/>
        <w:tabs>
          <w:tab w:leader="none" w:pos="3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2018 Equity Incentive Plan (the “2018 Plan”) to increase the number of shares issuable thereunder by 2,500,000 shares, as described in the accom-panying proxy statement and attached as Appendix A thereto.</w:t>
      </w:r>
    </w:p>
    <w:p>
      <w:pPr>
        <w:spacing w:after="0" w:line="17" w:lineRule="exact"/>
        <w:rPr>
          <w:rFonts w:ascii="Times New Roman" w:cs="Times New Roman" w:eastAsia="Times New Roman" w:hAnsi="Times New Roman"/>
          <w:sz w:val="18"/>
          <w:szCs w:val="18"/>
          <w:color w:val="auto"/>
        </w:rPr>
      </w:pPr>
    </w:p>
    <w:p>
      <w:pPr>
        <w:jc w:val="both"/>
        <w:ind w:left="316" w:right="20" w:hanging="316"/>
        <w:spacing w:after="0" w:line="261" w:lineRule="auto"/>
        <w:tabs>
          <w:tab w:leader="none" w:pos="3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Amended and Restated Articles of Association to effect an increase in the Company’s authorized share capital, as described in the accompanying proxy statement and attached as Appendix B thereto.</w:t>
      </w:r>
    </w:p>
    <w:p>
      <w:pPr>
        <w:spacing w:after="0" w:line="17" w:lineRule="exact"/>
        <w:rPr>
          <w:rFonts w:ascii="Times New Roman" w:cs="Times New Roman" w:eastAsia="Times New Roman" w:hAnsi="Times New Roman"/>
          <w:sz w:val="18"/>
          <w:szCs w:val="18"/>
          <w:color w:val="auto"/>
        </w:rPr>
      </w:pPr>
    </w:p>
    <w:p>
      <w:pPr>
        <w:jc w:val="both"/>
        <w:ind w:left="316" w:right="40" w:hanging="316"/>
        <w:spacing w:after="0" w:line="261" w:lineRule="auto"/>
        <w:tabs>
          <w:tab w:leader="none" w:pos="3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non-binding basis, the compensation paid to the Company’s named executive officers, including the compensation tables and narrative discussion, as described in the accompanying proxy statement.</w:t>
      </w:r>
    </w:p>
    <w:p>
      <w:pPr>
        <w:spacing w:after="0" w:line="17" w:lineRule="exact"/>
        <w:rPr>
          <w:rFonts w:ascii="Times New Roman" w:cs="Times New Roman" w:eastAsia="Times New Roman" w:hAnsi="Times New Roman"/>
          <w:sz w:val="18"/>
          <w:szCs w:val="18"/>
          <w:color w:val="auto"/>
        </w:rPr>
      </w:pPr>
    </w:p>
    <w:p>
      <w:pPr>
        <w:jc w:val="both"/>
        <w:ind w:left="316" w:right="20" w:hanging="316"/>
        <w:spacing w:after="0" w:line="255" w:lineRule="auto"/>
        <w:tabs>
          <w:tab w:leader="none" w:pos="31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appointment of Kesselman &amp; Kesselman, a member firm of PricewaterhouseCoopers International Limited, or PwC, an independent registered public account-ing firm, as the Company’s independent auditors for the fiscal year ending December 31, 2026, and authorize the Board, (or the Audit Committee, if authorized by the Board) to determine the compen-sation of the auditors in accordance with the volume and nature of their services.</w:t>
      </w:r>
    </w:p>
    <w:p>
      <w:pPr>
        <w:sectPr>
          <w:pgSz w:w="11900" w:h="16838" w:orient="portrait"/>
          <w:cols w:equalWidth="0" w:num="2">
            <w:col w:w="4944" w:space="720"/>
            <w:col w:w="5576"/>
          </w:cols>
          <w:pgMar w:left="320" w:top="117" w:right="339" w:bottom="0" w:gutter="0" w:footer="0" w:header="0"/>
          <w:type w:val="continuous"/>
        </w:sectPr>
      </w:pPr>
    </w:p>
    <w:bookmarkStart w:id="2" w:name="page3"/>
    <w:bookmarkEnd w:id="2"/>
    <w:p>
      <w:pPr>
        <w:ind w:left="4540"/>
        <w:spacing w:after="0" w:line="30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3765550</wp:posOffset>
            </wp:positionH>
            <wp:positionV relativeFrom="page">
              <wp:posOffset>88900</wp:posOffset>
            </wp:positionV>
            <wp:extent cx="17145" cy="8140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 cy="814070"/>
                    </a:xfrm>
                    <a:prstGeom prst="rect">
                      <a:avLst/>
                    </a:prstGeom>
                    <a:noFill/>
                  </pic:spPr>
                </pic:pic>
              </a:graphicData>
            </a:graphic>
          </wp:anchor>
        </w:drawing>
        <w:t>THE BOARD OF DIRECTORS RECOMMENDS A VOTE “FOR” EACH OF PROPOSALS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523240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617855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100"/>
      </w:cols>
      <w:pgMar w:left="1440" w:top="3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2026-06-03T15:18:16Z</dcterms:created>
  <dcterms:modified xsi:type="dcterms:W3CDTF">2026-06-03T15:18:16Z</dcterms:modified>
</cp:coreProperties>
</file>