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5734.htm"/>
      <w:bookmarkStart w:id="1" w:name="kszk2635734"/>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72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July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3_edei--EntityIncorporationStateCo"/>
            <w:bookmarkEnd w:id="5"/>
            <w:r>
              <w:rPr>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4_edei--EntityFileNumber_c20260726"/>
            <w:bookmarkEnd w:id="6"/>
            <w:r>
              <w:rPr>
                <w:sz w:val="20"/>
              </w:rPr>
              <w:t>001-38556</w:t>
            </w:r>
          </w:p>
        </w:tc>
        <w:tc>
          <w:tcPr>
            <w:tcW w:w="6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sz w:val="20"/>
              </w:rPr>
            </w:pPr>
            <w:bookmarkStart w:id="7" w:name="xdx_90A_edei--EntityTaxIdentificationNum"/>
            <w:bookmarkEnd w:id="7"/>
            <w:r>
              <w:rPr>
                <w:sz w:val="20"/>
              </w:rPr>
              <w:t>Not Applicable</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sz w:val="20"/>
              </w:rPr>
            </w:pPr>
            <w:r>
              <w:rPr>
                <w:sz w:val="20"/>
              </w:rPr>
              <w:t>(I.R.S. Employer</w:t>
              <w:br/>
              <w:t>Identification)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u w:val="single"/>
        </w:rPr>
        <w:t>Kiryat Hadassah, Minrav Building –</w:t>
      </w:r>
      <w:bookmarkStart w:id="9" w:name="xdx_90E_edei--EntityAddressAddressLine2_"/>
      <w:bookmarkEnd w:id="9"/>
      <w:r>
        <w:rPr>
          <w:rFonts w:ascii="Times New Roman;Times;Serif" w:hAnsi="Times New Roman;Times;Serif"/>
          <w:b w:val="false"/>
          <w:i w:val="false"/>
          <w:caps w:val="false"/>
          <w:smallCaps w:val="false"/>
          <w:sz w:val="20"/>
          <w:u w:val="single"/>
        </w:rPr>
        <w:t xml:space="preserve"> Fifth Floor, </w:t>
      </w:r>
      <w:bookmarkStart w:id="10" w:name="xdx_90E_edei--EntityAddressCityOrTown_c2"/>
      <w:bookmarkEnd w:id="10"/>
      <w:r>
        <w:rPr>
          <w:rFonts w:ascii="Times New Roman;Times;Serif" w:hAnsi="Times New Roman;Times;Serif"/>
          <w:b w:val="false"/>
          <w:i w:val="false"/>
          <w:caps w:val="false"/>
          <w:smallCaps w:val="false"/>
          <w:sz w:val="20"/>
          <w:u w:val="single"/>
        </w:rPr>
        <w:t xml:space="preserve">Jerusalem, </w:t>
      </w:r>
      <w:bookmarkStart w:id="11" w:name="xdx_901_edei--EntityAddressCountry_c2026"/>
      <w:bookmarkEnd w:id="11"/>
      <w:r>
        <w:rPr>
          <w:rFonts w:ascii="Times New Roman;Times;Serif" w:hAnsi="Times New Roman;Times;Serif"/>
          <w:b w:val="false"/>
          <w:i w:val="false"/>
          <w:caps w:val="false"/>
          <w:smallCaps w:val="false"/>
          <w:sz w:val="20"/>
          <w:u w:val="single"/>
        </w:rPr>
        <w:t xml:space="preserve">Israel </w:t>
      </w:r>
      <w:bookmarkStart w:id="12" w:name="xdx_903_edei--EntityAddressPostalZipCode"/>
      <w:bookmarkEnd w:id="12"/>
      <w:r>
        <w:rPr>
          <w:rFonts w:ascii="Times New Roman;Times;Serif" w:hAnsi="Times New Roman;Times;Serif"/>
          <w:b w:val="false"/>
          <w:i w:val="false"/>
          <w:caps w:val="false"/>
          <w:smallCaps w:val="false"/>
          <w:sz w:val="20"/>
          <w:u w:val="single"/>
        </w:rPr>
        <w:t>9112002</w:t>
      </w:r>
      <w:r>
        <w:rPr>
          <w:rFonts w:ascii="Times New Roman;Times;Serif" w:hAnsi="Times New Roman;Times;Serif"/>
          <w:b w:val="false"/>
          <w:i w:val="false"/>
          <w:caps w:val="false"/>
          <w:smallCaps w:val="false"/>
          <w:sz w:val="20"/>
        </w:rPr>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3" w:name="xdx_908_edei--CityAreaCode_c20260726__20"/>
      <w:bookmarkEnd w:id="13"/>
      <w:r>
        <w:rPr>
          <w:rFonts w:ascii="Times New Roman;Times;Serif" w:hAnsi="Times New Roman;Times;Serif"/>
          <w:b w:val="false"/>
          <w:i w:val="false"/>
          <w:caps w:val="false"/>
          <w:smallCaps w:val="false"/>
          <w:sz w:val="20"/>
          <w:u w:val="single"/>
        </w:rPr>
        <w:t>972-</w:t>
      </w:r>
      <w:bookmarkStart w:id="14" w:name="xdx_908_edei--LocalPhoneNumber_c20260726"/>
      <w:bookmarkEnd w:id="14"/>
      <w:r>
        <w:rPr>
          <w:rFonts w:ascii="Times New Roman;Times;Serif" w:hAnsi="Times New Roman;Times;Serif"/>
          <w:b w:val="false"/>
          <w:i w:val="false"/>
          <w:caps w:val="false"/>
          <w:smallCaps w:val="false"/>
          <w:sz w:val="20"/>
          <w:u w:val="single"/>
        </w:rPr>
        <w:t>2-532-7151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A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rPr/>
        <w:tc>
          <w:tcPr>
            <w:tcW w:w="365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60726"/>
            <w:bookmarkEnd w:id="19"/>
            <w:r>
              <w:rPr>
                <w:sz w:val="20"/>
              </w:rPr>
              <w:t>Ordinary Shares, par value of NIS 0.0000769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bookmarkStart w:id="20" w:name="xdx_90C_edei--TradingSymbol_c20260726__2"/>
            <w:bookmarkEnd w:id="20"/>
            <w:r>
              <w:rPr>
                <w:sz w:val="20"/>
              </w:rPr>
              <w:t>ENTX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bookmarkStart w:id="21" w:name="xdx_90B_edei--SecurityExchangeName_c2026"/>
            <w:bookmarkEnd w:id="21"/>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certain institutional and accredited investors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including funds affiliated with BVF Partners L.P. (collectively, “</w:t>
      </w:r>
      <w:r>
        <w:rPr>
          <w:rFonts w:ascii="Times New Roman;Times;Serif" w:hAnsi="Times New Roman;Times;Serif"/>
          <w:b w:val="false"/>
          <w:i w:val="false"/>
          <w:caps w:val="false"/>
          <w:smallCaps w:val="false"/>
          <w:sz w:val="20"/>
          <w:u w:val="single"/>
        </w:rPr>
        <w:t>BVF</w:t>
      </w:r>
      <w:r>
        <w:rPr>
          <w:rFonts w:ascii="Times New Roman;Times;Serif" w:hAnsi="Times New Roman;Times;Serif"/>
          <w:b w:val="false"/>
          <w:i w:val="false"/>
          <w:caps w:val="false"/>
          <w:smallCaps w:val="false"/>
          <w:sz w:val="20"/>
        </w:rPr>
        <w:t>”), providing for the private placement (the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to the Purchasers of an aggregate of 134,803,910 ordinary shares, par value NIS 0.0000769 per share, of the Company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(or, in lieu thereof, pre-funded warrants to purchase Ordinary Shares (the “</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for aggregate proceeds of approximately $275.0 million, representing a price of $2.04 per Ordinary Share. The transaction was priced at the market under the rules of the Nasdaq Stock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The Private Placement closed on July 28,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on which date the Company issued an aggregate of 122,961,215 Ordinary Shares and 11,842,695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Purchasers elected to receive a combination of Ordinary Shares and Pre-Funded Warrants in lieu of Ordinary Shares. The Pre-Funded Warrants may not be exercised if the aggregate number of Ordinary Shares beneficially owned by the holder thereof, together with its affiliates, would exceed either 4.99% or 9.99, at the option of the holder, immediately after exercise thereof, subject to increases not in excess of 19.99% at the option of the holder. Each Pre-Funded Warrant has an exercise price of NIS 0.0000769 per Ordinary Share, is immediately exercisable and may be exercised at any time and has no expiration date, and is subject to customary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Private Placement to support activities related to initiation of the Company’s phase 3 registrational study of EB613 in postmenopausal women with osteoporosis and for general working capital and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w:t>
      </w:r>
      <w:r>
        <w:rPr>
          <w:rFonts w:ascii="Times New Roman;Times;Serif" w:hAnsi="Times New Roman;Times;Serif"/>
          <w:b w:val="false"/>
          <w:i w:val="false"/>
          <w:caps w:val="false"/>
          <w:smallCaps w:val="false"/>
          <w:sz w:val="20"/>
          <w:u w:val="single"/>
        </w:rPr>
        <w:t>Leerink</w:t>
      </w:r>
      <w:r>
        <w:rPr>
          <w:rFonts w:ascii="Times New Roman;Times;Serif" w:hAnsi="Times New Roman;Times;Serif"/>
          <w:b w:val="false"/>
          <w:i w:val="false"/>
          <w:caps w:val="false"/>
          <w:smallCaps w:val="false"/>
          <w:sz w:val="20"/>
        </w:rPr>
        <w:t>”) acted as lead placement agent for the Private Placement. Evercore ISI, Guggenheim Securities, Cantor Fitzgerald, LifeSci Capital, and Canaccord Genuity (collectively with Leerink, the “</w:t>
      </w:r>
      <w:r>
        <w:rPr>
          <w:rFonts w:ascii="Times New Roman;Times;Serif" w:hAnsi="Times New Roman;Times;Serif"/>
          <w:b w:val="false"/>
          <w:i w:val="false"/>
          <w:caps w:val="false"/>
          <w:smallCaps w:val="false"/>
          <w:sz w:val="20"/>
          <w:u w:val="single"/>
        </w:rPr>
        <w:t>Placement Agents</w:t>
      </w:r>
      <w:r>
        <w:rPr>
          <w:rFonts w:ascii="Times New Roman;Times;Serif" w:hAnsi="Times New Roman;Times;Serif"/>
          <w:b w:val="false"/>
          <w:i w:val="false"/>
          <w:caps w:val="false"/>
          <w:smallCaps w:val="false"/>
          <w:sz w:val="20"/>
        </w:rPr>
        <w:t>”) acted as co-placement agents for the Private Placement, and the Company has agreed to pay a customary cash placement fee to the Placement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effective as of the Closing Date, the Company has agreed to grant BVF the right to designate two directors to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BVF Designee</w:t>
      </w:r>
      <w:r>
        <w:rPr>
          <w:rFonts w:ascii="Times New Roman;Times;Serif" w:hAnsi="Times New Roman;Times;Serif"/>
          <w:b w:val="false"/>
          <w:i w:val="false"/>
          <w:caps w:val="false"/>
          <w:smallCaps w:val="false"/>
          <w:sz w:val="20"/>
        </w:rPr>
        <w:t>”), subject to each BVF Designee’s satisfaction of all applicable requirements regarding service as a director under applicable law and Nasdaq rules and such other criteria and qualifications applicable to all directors of the Company. If BVF ceases to beneficially own at least 75.0% of the total securities (comprising the Ordinary Shares and the Ordinary Shares issuable upon exercise of the Pre-Funded Warrants) acquired by BVF in the Private Placement, then BVF’s designation right will be reduced to one BVF Designee; and if such ownership falls below 50.0% of such securities, or if BVF’s beneficial ownership falls below 10.0% of the Company’s issued and outstanding Ordinary Shares, then BVF’s designation right will terminate in full. In each such case, at the Board’s written request, the applicable BVF Designee or BVF Designees will be required to resign from the Board, effective as of the 30th day following such request. For so long as BVF has the right to designate at least one BVF Designee, one BVF Designee is expected to serve on the Nominating and Governance Committee of the Board, subject to applicable independence and other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agreed to use its commercially reasonable efforts, in reasonable consultation with each BVF Designee then serving, to identify and either appoint or put forth for election two additional independent members of the Board (each, a “</w:t>
      </w:r>
      <w:r>
        <w:rPr>
          <w:rFonts w:ascii="Times New Roman;Times;Serif" w:hAnsi="Times New Roman;Times;Serif"/>
          <w:b w:val="false"/>
          <w:i w:val="false"/>
          <w:caps w:val="false"/>
          <w:smallCaps w:val="false"/>
          <w:sz w:val="20"/>
          <w:u w:val="single"/>
        </w:rPr>
        <w:t>New Independent Director</w:t>
      </w:r>
      <w:r>
        <w:rPr>
          <w:rFonts w:ascii="Times New Roman;Times;Serif" w:hAnsi="Times New Roman;Times;Serif"/>
          <w:b w:val="false"/>
          <w:i w:val="false"/>
          <w:caps w:val="false"/>
          <w:smallCaps w:val="false"/>
          <w:sz w:val="20"/>
        </w:rPr>
        <w:t>”), anticipated to occur at or prior to the Company’s 2027 annual general meeting and, subject to the qualification of such directors, no later than 18 months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each Purchaser has agreed to vote all Ordinary Shares beneficially held by it in favor of certain proposals relating to the increase in the number of shares issuable under the Company’s 2018 Equity Incentive Plan and the issuance of equity grants to the Company’s executive officers intended to restore such person’s post-Private Placement beneficial ownership of the Company to their respective ownership percentages immediately prior to the Closing Date (the “</w:t>
      </w:r>
      <w:r>
        <w:rPr>
          <w:rFonts w:ascii="Times New Roman;Times;Serif" w:hAnsi="Times New Roman;Times;Serif"/>
          <w:b w:val="false"/>
          <w:i w:val="false"/>
          <w:caps w:val="false"/>
          <w:smallCaps w:val="false"/>
          <w:sz w:val="20"/>
          <w:u w:val="single"/>
        </w:rPr>
        <w:t>Supported Proposals</w:t>
      </w:r>
      <w:r>
        <w:rPr>
          <w:rFonts w:ascii="Times New Roman;Times;Serif" w:hAnsi="Times New Roman;Times;Serif"/>
          <w:b w:val="false"/>
          <w:i w:val="false"/>
          <w:caps w:val="false"/>
          <w:smallCaps w:val="false"/>
          <w:sz w:val="20"/>
        </w:rPr>
        <w:t>”). The Company expects to seek shareholder approval of the Supported Proposals at a special meeting of shareholders anticipated to be held in the fourth quarter of 2026 and, in any event, no later than 12 months following the Closing Date.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to the Purchasers under the Purchase Agreement were offered in reliance on an exemption from registration provided by Section 4(a)(2)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relied on this exemption from registration based in part on representations made by the Purchasers, including that each Purchaser is an “accredited investor”, as defined in Rule 501(a)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securities pursuant to the Purchase Agreement has not been registered under the Securities Act or any state securities laws. The securities may not be offered or sold in the United States absent registration or an applicable exemption from registration requirements. Neither this Current Report on Form 8-K, nor the exhibits attached hereto, is an offer to sell or a solicitation of an offer to buy the securities described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and the Purchasers entered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which the Company has agreed to prepare and file a registration statement with the Securities and Exchange Commission no later than 30 days following the Closing Date, to register the resale of the Ordinary Shares and the Ordinary Shares issuable upon exercise of the Pre-Funded Warrants. The Company has agreed to use its reasonable best efforts to have such registration statement declared effective as promptly as possible after the filing thereof. Holders of Pre-Funded Warrants may exercise such warrants on a cashless basis at such time as there is no effective registration statement with respect to the resale of the Ordinary Shares issuable upon exercise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the Pre-Funded Warrants and the Registration Rights Agreement is only a summary and is qualified in its entirety by reference to the full text of such agreements, which are filed as Exhibits 10.1, 10.2 and 10.3, respectively, to this Current Report on Form 8-K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hereby incorporated by reference in response 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regarding the BVF Designees and the New Independent Directors is incorporated by reference into this Item 5.02.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the Purchase Agreement, the Company has agreed that prior to or at such a time as a New Independent Director is appointed to the Board, as part of an orderly succession plan and otherwise in accordance with good governance practices, a current independent director will resign from the Board. Each of Haya Taitel and Yonatan Malca has communicated to the Board that he or she will either resign from the Board or not stand for reelection to the Board, in either case, effective upon the date that a corresponding New Independent Director is appointed or elected to the Board. The decision of each of Haya Taitel and Yonatan Malca to either resign or not stand for reelection did not result from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725" w:type="dxa"/>
            <w:tcBorders/>
            <w:tcMar>
              <w:bottom w:w="0" w:type="dxa"/>
            </w:tcMar>
            <w:vAlign w:val="center"/>
          </w:tcPr>
          <w:p>
            <w:pPr>
              <w:pStyle w:val="TableContents"/>
              <w:bidi w:val="0"/>
              <w:spacing w:before="0" w:after="283"/>
              <w:jc w:val="both"/>
              <w:rPr/>
            </w:pPr>
            <w:hyperlink w:anchor="exhibit_10-1.htm">
              <w:r>
                <w:rPr>
                  <w:rStyle w:val="InternetLink"/>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exhibit_10-1.htm">
              <w:r>
                <w:rPr>
                  <w:rStyle w:val="InternetLink"/>
                  <w:u w:val="single"/>
                </w:rPr>
                <w:t>Securities Purchase Agreement, dated as of July 26, 2026, by and between Entera Bio Ltd. and the purchasers party thereto.</w:t>
              </w:r>
            </w:hyperlink>
          </w:p>
        </w:tc>
      </w:tr>
      <w:tr>
        <w:trPr/>
        <w:tc>
          <w:tcPr>
            <w:tcW w:w="725" w:type="dxa"/>
            <w:tcBorders/>
            <w:tcMar>
              <w:bottom w:w="0" w:type="dxa"/>
            </w:tcMar>
            <w:vAlign w:val="center"/>
          </w:tcPr>
          <w:p>
            <w:pPr>
              <w:pStyle w:val="TableContents"/>
              <w:bidi w:val="0"/>
              <w:spacing w:before="0" w:after="283"/>
              <w:jc w:val="both"/>
              <w:rPr/>
            </w:pPr>
            <w:hyperlink w:anchor="exhibit_10-2.htm">
              <w:r>
                <w:rPr>
                  <w:rStyle w:val="InternetLink"/>
                </w:rPr>
                <w:t>10.2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exhibit_10-2.htm">
              <w:r>
                <w:rPr>
                  <w:rStyle w:val="InternetLink"/>
                  <w:u w:val="single"/>
                </w:rPr>
                <w:t>Form of Pre-Funded Warrant.</w:t>
              </w:r>
            </w:hyperlink>
          </w:p>
        </w:tc>
      </w:tr>
      <w:tr>
        <w:trPr/>
        <w:tc>
          <w:tcPr>
            <w:tcW w:w="725" w:type="dxa"/>
            <w:tcBorders/>
            <w:tcMar>
              <w:bottom w:w="0" w:type="dxa"/>
            </w:tcMar>
            <w:vAlign w:val="center"/>
          </w:tcPr>
          <w:p>
            <w:pPr>
              <w:pStyle w:val="TableContents"/>
              <w:bidi w:val="0"/>
              <w:spacing w:before="0" w:after="283"/>
              <w:jc w:val="left"/>
              <w:rPr/>
            </w:pPr>
            <w:hyperlink w:anchor="exhibit_10-3.htm">
              <w:r>
                <w:rPr>
                  <w:rStyle w:val="InternetLink"/>
                </w:rPr>
                <w:t>10.3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exhibit_10-3.htm">
              <w:r>
                <w:rPr>
                  <w:rStyle w:val="InternetLink"/>
                  <w:u w:val="single"/>
                </w:rPr>
                <w:t>Registration Rights Agreement, dated as of July 28, 2026, by and among Entera Bio Ltd. and the purchasers party thereto.</w:t>
              </w:r>
            </w:hyperlink>
          </w:p>
        </w:tc>
      </w:tr>
      <w:tr>
        <w:trPr/>
        <w:tc>
          <w:tcPr>
            <w:tcW w:w="725" w:type="dxa"/>
            <w:tcBorders/>
            <w:tcMar>
              <w:bottom w:w="0" w:type="dxa"/>
            </w:tcMar>
            <w:vAlign w:val="center"/>
          </w:tcPr>
          <w:p>
            <w:pPr>
              <w:pStyle w:val="TableContents"/>
              <w:bidi w:val="0"/>
              <w:spacing w:before="0" w:after="283"/>
              <w:jc w:val="both"/>
              <w:rPr/>
            </w:pPr>
            <w:r>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895"/>
        <w:gridCol w:w="365"/>
        <w:gridCol w:w="2450"/>
      </w:tblGrid>
      <w:tr>
        <w:trPr/>
        <w:tc>
          <w:tcPr>
            <w:tcW w:w="189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both"/>
              <w:rPr/>
            </w:pPr>
            <w:r>
              <w:rPr/>
              <w:t>ENTERA BIO LTD.</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both"/>
              <w:rPr/>
            </w:pPr>
            <w:r>
              <w:rPr/>
              <w:t>Date: July 28, 2026</w:t>
            </w:r>
          </w:p>
        </w:tc>
        <w:tc>
          <w:tcPr>
            <w:tcW w:w="365" w:type="dxa"/>
            <w:tcBorders/>
            <w:vAlign w:val="center"/>
          </w:tcPr>
          <w:p>
            <w:pPr>
              <w:pStyle w:val="TableContents"/>
              <w:bidi w:val="0"/>
              <w:spacing w:before="0" w:after="283"/>
              <w:jc w:val="both"/>
              <w:rPr/>
            </w:pPr>
            <w:r>
              <w:rPr/>
              <w:t>By:</w:t>
            </w:r>
          </w:p>
        </w:tc>
        <w:tc>
          <w:tcPr>
            <w:tcW w:w="2450" w:type="dxa"/>
            <w:tcBorders>
              <w:bottom w:val="single" w:sz="12" w:space="0" w:color="000000"/>
            </w:tcBorders>
            <w:tcMar>
              <w:bottom w:w="28" w:type="dxa"/>
            </w:tcMar>
            <w:vAlign w:val="center"/>
          </w:tcPr>
          <w:p>
            <w:pPr>
              <w:pStyle w:val="TableContents"/>
              <w:bidi w:val="0"/>
              <w:spacing w:before="0" w:after="283"/>
              <w:jc w:val="both"/>
              <w:rPr/>
            </w:pPr>
            <w:r>
              <w:rPr/>
              <w:t>/s/ Miranda Toledano</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40" w:after="60"/>
        <w:ind w:left="0" w:right="0" w:hanging="0"/>
        <w:jc w:val="left"/>
        <w:rPr>
          <w:bdr w:val="single" w:sz="16" w:space="1" w:color="000000"/>
        </w:rPr>
      </w:pPr>
      <w:bookmarkStart w:id="23" w:name="exhibit_10-1.htm"/>
      <w:bookmarkStart w:id="24" w:name="ksexhibit_101"/>
      <w:bookmarkEnd w:id="23"/>
      <w:bookmarkEnd w:id="24"/>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July 26, 2026, between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purchaser, including its successors and permitted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or the State of Israel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BVF</w:t>
      </w:r>
      <w:r>
        <w:rPr>
          <w:rFonts w:ascii="Times New Roman;Times;Serif" w:hAnsi="Times New Roman;Times;Serif"/>
          <w:b w:val="false"/>
          <w:i w:val="false"/>
          <w:caps w:val="false"/>
          <w:smallCaps w:val="false"/>
          <w:sz w:val="20"/>
        </w:rPr>
        <w:t>” means BVF Partners L.P. and its Affiliates that are Purchasers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the Closing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Israeli Securities Law</w:t>
      </w:r>
      <w:r>
        <w:rPr>
          <w:rFonts w:ascii="Times New Roman;Times;Serif" w:hAnsi="Times New Roman;Times;Serif"/>
          <w:b w:val="false"/>
          <w:i w:val="false"/>
          <w:caps w:val="false"/>
          <w:smallCaps w:val="false"/>
          <w:sz w:val="20"/>
        </w:rPr>
        <w:t>” means the Israeli Securities Law, 1968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shall have the meaning ascribed to such term in Section ‎4.1(c).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NIS</w:t>
      </w:r>
      <w:r>
        <w:rPr>
          <w:rFonts w:ascii="Times New Roman;Times;Serif" w:hAnsi="Times New Roman;Times;Serif"/>
          <w:b w:val="false"/>
          <w:i w:val="false"/>
          <w:caps w:val="false"/>
          <w:smallCaps w:val="false"/>
          <w:sz w:val="20"/>
        </w:rPr>
        <w:t>” means New Israeli Shekels, the lawful currency of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ordinary shares of the Company, par value NIS 0.0000769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Israeli Investor</w:t>
      </w:r>
      <w:r>
        <w:rPr>
          <w:rFonts w:ascii="Times New Roman;Times;Serif" w:hAnsi="Times New Roman;Times;Serif"/>
          <w:b w:val="false"/>
          <w:i w:val="false"/>
          <w:caps w:val="false"/>
          <w:smallCaps w:val="false"/>
          <w:sz w:val="20"/>
        </w:rPr>
        <w:t>” means an investor of the type enumerated in the First Addendum to the Israeli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means $2.04.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Agents</w:t>
      </w:r>
      <w:r>
        <w:rPr>
          <w:rFonts w:ascii="Times New Roman;Times;Serif" w:hAnsi="Times New Roman;Times;Serif"/>
          <w:b w:val="false"/>
          <w:i w:val="false"/>
          <w:caps w:val="false"/>
          <w:smallCaps w:val="false"/>
          <w:sz w:val="20"/>
        </w:rPr>
        <w:t>” means Leerink Partners LLC, Evercore Group L.L.C., Guggenheim Securities, LLC, Cantor Fitzgerald &amp; Co., LifeSci Capital, LLC and Canaccord Genuity LLC, who the Company has engaged as its exclusive placement agents in connection with the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Warrants</w:t>
      </w:r>
      <w:r>
        <w:rPr>
          <w:rFonts w:ascii="Times New Roman;Times;Serif" w:hAnsi="Times New Roman;Times;Serif"/>
          <w:b w:val="false"/>
          <w:i w:val="false"/>
          <w:caps w:val="false"/>
          <w:smallCaps w:val="false"/>
          <w:sz w:val="20"/>
        </w:rPr>
        <w:t xml:space="preserve">” means pre-funded warrants to purchase Ordinary Shares, substantially in the form attached hereto as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hereof, among the Company and the Purchaser,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by the Purchaser of the Shares and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Consent</w:t>
      </w:r>
      <w:r>
        <w:rPr>
          <w:rFonts w:ascii="Times New Roman;Times;Serif" w:hAnsi="Times New Roman;Times;Serif"/>
          <w:b w:val="false"/>
          <w:i w:val="false"/>
          <w:caps w:val="false"/>
          <w:smallCaps w:val="false"/>
          <w:sz w:val="20"/>
        </w:rPr>
        <w:t>” means the written consent of the Purchasers holding a majority of the aggregate number of Ordinary Shares and Pre-Funded Warrants acquired by the Purchasers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and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Ordinary Shares issued or issuable to each Purchaser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shall have the meaning ascribed to such term in Section ‎2.1(a).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 As of the date of this Agreement, the Company’s sole subsidiary is Entera Bio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the Registration Rights Agreement, all exhibits and schedules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Ordinary Shares issuable upon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the 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PURCHASE AND SALE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upon the terms and subject to the conditions set forth herein, the Company agrees to sell, and the Purchasers, severally and not jointly, agree to purchase the number and type of Securities, for the aggregate purchase price (the “</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set forth on the Purchaser’s signature page hereto. The price per Share is equal to the Per Share Purchase Price. The price per Pre-Funded Warrant is equal to the Per Share Purchase Price minus the exercise price of NIS 0.0000769 per Warrant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satisfaction of the covenants and conditions set forth in Sections ‎2.2 and ‎2.3, the Closing shall occur remotely via the electronic exchange of all closing deliverables, or as the parties shall otherwise mutually agree, at such time as agreed to by the Company and the Purchasers, but in no event later than the fifth Business Day after the date of this Agreement. At the Closing, each Purchaser shall deliver to the Company, via wire transfer or a certified check, immediately available funds equal to such Purchaser’s Subscription Amount, the Company shall deliver to each Purchaser its respective Shares and Warrants as set forth on such Purchaser’s signature page hereto, and the Company and each Purchaser shall deliver the other items set forth in Section ‎2.2 deliverable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val="false"/>
          <w:i w:val="false"/>
          <w:caps w:val="false"/>
          <w:smallCaps w:val="false"/>
          <w:sz w:val="20"/>
        </w:rPr>
        <w:t>Deliveries.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irrevocable instructions to the Transfer Agent instructing the Transfer Agent to deliver, on an expedited basis, a certificate evidencing the number of Shares to be purchased by the Purchaser as set forth on such Purchaser’s signature page hereto, registered in the name of such Purchaser, or, at the election of the Company, evidence of the issuance of such Purchaser’s Shares hereunder as held in DRS book-entry form by the Transfer Agent and registered in the name of such Purchaser, which evidence shall be reasonably satisfactory to such Purchaser;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applicable, a Pre-Funded Warrant registered in the name of such Purchaser to purchase up to a number of Ordinary Shares as set forth on such Purchaser’s signature page hereto, in the form of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wire instructions in writing;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Registration Rights Agreement duly executed by the Company;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legal opinion of each of (i) the Company’s U.S. counsel and (ii) the Company’s Israeli counsel, in each case in a customary form reasonably acceptable to the Purchasers.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Purchaser is located in the State of Israel, written confirmation of such Purchaser that as of the date of any offer of Shares and as of the Closing Date, such Purchaser is a Qualified Israeli Investor, is fully aware of the implications of being a Qualified Israeli Investor investing in the Shares and consents to such implications, such written confirmation in form and substance reasonably satisfactory in all respects to the Company;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Registration Rights Agreement duly executed by such Purchaser.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val="false"/>
          <w:i w:val="false"/>
          <w:caps w:val="false"/>
          <w:smallCaps w:val="false"/>
          <w:sz w:val="20"/>
        </w:rPr>
        <w:t>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with respect to each Purchaser individually are subject to the following conditions being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each Purchaser contained herein (unless as of a specific date therein in which case they shall be accurate as of such date); provided, that such closing condition is applicable to each Purchaser individually and the failure to satisfy such closing condition by any other Purchaser shall not give the Company the right to abandon the transactions contemplated by this Agreement as to such other Purchaser.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event or series of events shall have occurred that has had or would reasonably be expected to have a Material Adverse Effect with respect to the Company since the date hereof;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Ordinary Shares shall not have been suspended by the Commission, the Company’s principal Trading Market or any other governmental or regulatory body with respect to public trading in the Ordinary Shares,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obtained such consents, permits, approvals, registrations and waivers as are necessary for the consummation of the purchase and sale of the Securities contemplated hereby, all of which shall be in full force and effect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Documents;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aggregate Subscription Amount to be funded by all Purchasers at the Closing shall be not less than $210,000,000.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SEC Reports and in the Disclosure Schedules, which Disclosure Schedules shall be deemed a part hereof and shall qualify any representation or otherwise made herein to the extent of the disclosure contained in the Disclosure Schedules, the Company hereby makes the following representations and warranties to each Purchaser. For purposes of these representations and warranties (other than those expressly regarding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the term the “Company” shall include any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definition of the term “Subsidiary” contained in this Agreement.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Other than the Subsidiaries, the Company does not own any equity interest and has not made any loans or advances to or guarantees of indebtedness to any person, corporation, partnership or other entity and is not a party to any joint venture.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(if the concept of good standing exists in such jurisdiction)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including the issuance of the Shares, the Warrants and the Warrant Shares.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 Regulation</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 The conduct of business by the Company or any Subsidiary as presently conducted is not subject to continuing oversight, supervision, regulation or examination by any governmental official or body of the United States, or any other jurisdiction wherein the Company or any Subsidiary conducts or proposes to conduct such business. The Company and each Subsidiary has obtained all material licenses, permits and other governmental authorizations necessary to conduct its business as presently conducted, except where the failure to do so would not be reasonably expected to cause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Assuming the accuracy of the Purchasers’ representations and warranties set forth in Section ‎3.2, the Company is not required to obtain any consent, waiver, authorization or order of, give any notice to, or make any filing or registration with, any court or other federal, state, local, foreign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(iv) the filing of Form D with the Commission and such filings as are required to be made under applicable state securities laws, and (v) filing of reports and undertakings with the Israeli Innovation Authority (the “</w:t>
      </w:r>
      <w:r>
        <w:rPr>
          <w:rFonts w:ascii="Times New Roman;Times;Serif" w:hAnsi="Times New Roman;Times;Serif"/>
          <w:b w:val="false"/>
          <w:i w:val="false"/>
          <w:caps w:val="false"/>
          <w:smallCaps w:val="false"/>
          <w:sz w:val="20"/>
          <w:u w:val="single"/>
        </w:rPr>
        <w:t>IIA</w:t>
      </w:r>
      <w:r>
        <w:rPr>
          <w:rFonts w:ascii="Times New Roman;Times;Serif" w:hAnsi="Times New Roman;Times;Serif"/>
          <w:b w:val="false"/>
          <w:i w:val="false"/>
          <w:caps w:val="false"/>
          <w:smallCaps w:val="false"/>
          <w:sz w:val="20"/>
        </w:rPr>
        <w:t>”), formerly known as the Office of Chief Scientist, or the notices to the Israeli Registrar of Companies, as may be required by law, if any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Neither the Company nor any Subsidiary has received any notice of any violation of, or noncompliance with, any material federal, state, local or foreign laws, ordinances, regulations and orders (including, without limitation, those relating to environmental protection, occupational safety and health, securities laws, equal employment opportunity) applicable to its business, the violation of, or noncompliance with, would have a Material Adverse Effect, and the Company knows of no facts or set of circumstances which could give rise to such a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and arising under applicable securities laws. The holder of the Shares shall be entitled to all rights accorded to a holder of Ordinary Shares. The Warrant Shares, when issued in accordance with the terms of the Transaction Documents, will be validly issued, fully paid and nonassessable, free and clear of all Liens imposed by the Company other than restrictions on transfer provided for in the Transaction Documents, and the holder of the Warrant Shares shall be entitled to all rights accorded to a holder of Ordinary Shares. The Company has reserved from its duly authorized capital stock the maximum number of Ordinary Shares issuable pursuant to this Agreement and the exercise of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comprises 350,000,000 Ordinary Shares. As of the date hereof, the Company has 49,290,196 Ordinary Shares outstanding. All of the issued and outstanding Ordinary Shares have been duly authorized and validly issued and are fully paid and non-assessable. The Company has not issued any capital stock since its most recently filed periodic report under the Exchange Act, other than pursuant to the exercise of employee stock options or other awards under the Company’s share incentive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the Company or any Subsidiary, or contracts, commitments, understandings or arrangements by which the Company or any Subsidiary is or may become bound to issue additional Ordinary Shares or Ordinary Share Equivalents or capital stock of the Company or any Subsidiary. The issuance and sale of the Securities does not, and the exercise in full of the Warrants and the issuance and delivery of the Warrant Shares thereupon will not, obligate the Company or any Subsidiary to issue Ordinary Shares or other securities to any Person (other than the Purchasers). Except as disclosed in the SEC Reports,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Neither the Company nor any Subsidiary has any stock appreciation rights or “phantom stock” plans or agreements or any similar plan or agreement. All of the outstanding shares of capital stock of the Company and its Subsidiaries are duly authorized, validly issued, fully paid and nonassessable, have been issued in compliance in all material respects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Securities. Except as disclosed in the SEC Reports, there are no shareholders agreements, voting agreements or other similar agreements with respect to the Company’s or any Subsidiary’s capital stock to which the Company or any Subsidiary is a party or, to the knowledge of the Company, between or among any of the Company’s shareholders.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(2) years immediately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During the period of engagement of the Company’s accountants, there have been no disagreements between the accounting firm and the Company on any matters of accounting principles or practices, financial statement disclosure or auditing scope or procedures that would require disclosure pursuant to Item 304 of Regulation S-K. The Company has made and kept books and records and accounts which are in reasonable detail and which fairly and accurately reflect the activities of the Company in all material respects, subject only to year-end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the Company has operated its business in the ordinary course and, except as disclosed in a subsequent SEC Report filed or furnished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existing Company share incentive plans and as may be issued and sold pursuant to this Agreement.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which would, if there were an unfavorable decision, have or reasonably be expected to result in a Material Adverse Effect. There has not been, and to the knowledge of the Company, there is not pending or contemplated, any investigation by the Commission or any applicable regulatory body involving the Company, any Subsidiary or any current or former director or officer of the Company. The Commission has not issued any stop order or other order suspending the effectiveness of any registration statement filed by the Company or any Subsidiary under the Exchange Act or the Securities Act. Neither the Company nor any Subsidiary is subject to any injunction, judgment, decree or order of any court, regulatory body, arbitral panel, administrative agency or other government body.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or any Subsidiary,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 The Company and its Subsidiaries have all required licenses, permits, certificates and other authorizations from such federal, state or local government or governmental agency, department or body that are currently necessary for the operation of the business of the Company and its Subsidiaries as currently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rights to lease or otherwise use all real property that is described in the SEC Reports and have good and marketable title in or valid rights to lease or otherwise use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material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Notwithstanding anything to the contrary, it is hereby clarified that the Company has received grants from the IIA, and accordingly the Company is subject to the Israeli Encouragement of Research, Development and Innovation in Industry Law, 5744-1984 (the “Innovation Law”), and the applicable rules and regulations as described in detail in the Company’s Form 10-K for fiscal year ended December 31, 2025. The Company is in compliance in all material respects with all applicable provisions of the Innovation Law, and all applicable rules, regulations, guidelines, benefit tracks, and procedures published by the IIA. Within the past two years, the Company has not received any written notice of, nor is it in material violation or breach of, any of the terms, conditions, or restrictions of any IIA Grant. All IIA Grants were received in compliance with all applicable laws. To the knowledge of the Company, no event has occurred that would reasonably be expected to give rise to the revocation, cancellation, reduction, or modification of any IIA Grant, or require the Company to repay any IIA Grant ahead of its standard royalty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disclosed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award agreements under any share incentive plan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all applicable requirements of the Sarbanes-Oxley Act of 2002 that are effective as of the date hereof,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are reasonably likely to materially affect, the internal control over financial reporting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Securities by the Company to the Purchasers as contemplated hereby. None of the Company, or any person acting on its or their behalf has taken nor will it take any action that conflicts with the conditions and requirements of, or that would make unavailable with respect to the offering of the Securities contemplated hereby, the exemption(s) from registration available pursuant to Rule 506(b) of Regulation D and/or Section 4(a)(2) of the Securities Act and applicable state securities laws, or knows of any reason why any such exemption would be otherwise unavailable to it. The issuance and sale of the Securities hereunder does not contravene the rules and regulations of the Trading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required to be registered as, and, immediately after receipt of payment for the Securities, will not be required to be registered as an “investment company” within the meaning of the Investment Company Act of 1940, as amended. The Company shall conduct its business in a manner so that it will not become required to be registered as an “investment company” subject to registration under the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disclosed in the SEC Reports, and other than each of the Purchasers, no Person has any right to cause the Company or any Subsidiary to effect the registration under the Securities Act of any securities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investigating or contemplating terminating such registration. Except as disclosed in the SEC Reports, the Company has not, in the 12 months preceding the date hereof, received notice from any Trading Market on which the Ordinary Shares is or has been listed or quoted to the effect that the Company is not in compliance with the listing or maintenance requirements of such Trading Market.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No Purchaser has relied on any information or advice furnished by or on behalf of the Placement Agents in connection with the Transaction Documents or the transactions contemplated thereby.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taxes, if any, as are being contested in good faith and as to which adequate reserves have been established by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Kesselman &amp; Kesselman, a member firm of PricewaterhouseCoopers International Limited. To the knowledge and belief of the Company, such accounting firm (i) is a registered public accounting firm as required by the Exchange Act and (ii) has expressed its opinion with respect to the financial statements included in the Company’s Annual Report for the fiscal year ended December 31, 2025.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r>
      <w:r>
        <w:rPr>
          <w:rFonts w:ascii="Times New Roman;Times;Serif" w:hAnsi="Times New Roman;Times;Serif"/>
          <w:b w:val="false"/>
          <w:i w:val="false"/>
          <w:caps w:val="false"/>
          <w:smallCaps w:val="false"/>
          <w:sz w:val="20"/>
          <w:u w:val="single"/>
        </w:rPr>
        <w:t>No Disagreements with Accountants</w:t>
      </w:r>
      <w:r>
        <w:rPr>
          <w:rFonts w:ascii="Times New Roman;Times;Serif" w:hAnsi="Times New Roman;Times;Serif"/>
          <w:b w:val="false"/>
          <w:i w:val="false"/>
          <w:caps w:val="false"/>
          <w:smallCaps w:val="false"/>
          <w:sz w:val="20"/>
        </w:rPr>
        <w:t>. There are no material disagreements of any kind presently existing, or reasonably anticipated by the Company to arise, between the Company and the accountants formerly or presently employed by the Company, which would reasonably be expected to affect the Company’s ability to perform any of its obligations under any of the Transaction Documents, and the Company is current with respect to any fees owed to its accountants.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Each stock option granted by the Company under the Company’s share incentive plan was granted (i) in accordance with the terms of the Company’s share incentive plan and (ii) with an exercise price at least equal to the fair market value of the Ordinary Shares on the date such stock option would be considered granted under GAAP and applicable law. No stock option granted under the Company’s share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 All options, shares, and equity awards granted to Israeli employees, directors, and officers under Section 102 of the Israeli Income Tax Ordinance [New Version], 1961, have been granted, allocated, and issued in compliance in all material respects with all conditions of said Section 102.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customary industry standards and practices.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t xml:space="preserve">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including the Bank Secrecy Act, as amended by the USA PATRIOT Act of 2001 (signed into law October 26, 2001)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val="false"/>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val="false"/>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Other than as provided for under the Engagement Letter (as defined below),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the fair saleable value of the Company’s assets exceeds the amount that will be required to be paid on or in respect of the Company’s existing debts and other liabilities (including known contingent liabilities) as they mature.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“Indebtedness”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severally and not jointly,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has independently made its own analysis and decision to invest in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Warrants, it will be: (A) either (i) an “accredited investor” as defined in Rule 501(a)(1), (a)(2), (a)(3), (a)(7), (a)(8), (a)(9), (a)(12), or (a)(13) under the Securities Act or (ii) a “qualified institutional buyer” as defined in Rule 144A(a) under the Securities Act and (B) if such Purchaser is located in the State of Israel, such Purchaser is a Qualified Israeli Investor, purchasing Shares for its own account, or where permitted under the First Addendum to the Israeli Securities Law, for the accounts of clients who are Qualified Israeli Investors.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Each Purchaser represents and warrants to the Company that, from the date hereof and until the date on which the initial Registration Statement (as defined in the Registration Rights Agreement) shall have been declared effective by the SEC under the Securities Act, such Purchaser shall not engage in or effect, in any manner whatsoever, directly or indirectly, any (i) “short sale” (as such term is defined in Rule 200 of Regulation SHO of the 1934 Act (as defined herein)) of the Ordinary Shares or (ii) hedging transaction, which establishes a net short position with respect to the Ordinary Shares.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OTHER AGREEMENTS OF THE PARTIES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may only be disposed of in compliance with state and federal securities laws. In connection with any transfer of Securities other than pursuant to an effective registration statement,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agree to the imprinting, so long as is required by this Section ‎‎‎4.1, of a legend on any of the Securities in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Certificates evidencing the Shares and Warrant Shares and held by non-Affiliates of the Company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(if the transferor is not an Affiliate of the Company), (iii) if such Shares or Warrant Shares are eligible for sale under Rule 144 without the need to comply with the current information requirement contained in Rule 144(c), or (iv) if such legend is not required under applicable requirements of the Securities Act (including judicial interpretations and pronouncements issued by the staff of the Commission). The Company shall cause its counsel to issue a legal opinion to the Transfer Agent or a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or evidence of book entry position representing Shares or Warrant Shares, as the case may be, issued with a restrictive legend, together with customary representation letters duly executed by such Purchaser (such date,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such Purchaser a certificate (or evidence of book entry position) representing such shares that is free from all restrictive and other legends. The Company may not make any notation on its records or give instructions to the Transfer Agent that enlarge the restrictions on transfer set forth in this Section 4. Certificates for Securities (or evidence of book entry position) subject to legend removal hereunder shall be transmitted by the Transfer Agent to such Purchaser by crediting the account of the Purchaser’s prime broker with the Depository Trust Company System as directed by such Purchaser.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a certificate or evidence of book entry position representing Shares or Warrant Shares, as the case may be, issued with a restrictive legend. If the Company fails to comply with the foregoing obligations, and a Purchaser, or such Purchaser’s broker, is required to effect a buy-in to cover a short position in the Ordinary Shares due to such failure, then such Purchaser shall be entitled to a payment, as liquidated damages and not as a penalty, in the amount equal to one percent (1%) of the purchase price paid by such Purchaser for such Ordinary Shares pursuant to this Agreement from the date on which the removal of the legend was required by this Section ‎4.1(c) until the date on which such legend is actually removed, with such amount being pro-rated for any partial month. The maximum amount payable to any Purchaser for such failure to remove the restrictive legend as required by this Section ‎4.1(c) shall not exceed eight percent (8%) of such Purchaser’s purchase price paid pursuant to this Agreement for the applicable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Purchaser, severally and not jointly with the other Purchasers, agrees with the Company that such Purchaser will sell the Securities, if any, pursuant to either the registration requirements of the Securities Act, including any applicable prospectus delivery requirements, or an exemption therefrom, and that if Securities are sold pursuant to the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earlier of the time that (i) no Purchaser owns Securities and (ii) the Warrants have expired, the Company covenants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on the Closing Date, or if Closing shall have occurred subsequent to 4:00 p.m. New York City time on the Closing Date, on the Trading Day immediately following the Closing Date, issue a press release disclosing the material terms of the transactions contemplated hereby, and (b) file a Current Report on Form 8-K, including copies of the Transaction Documents (or the forms thereof)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and the filing of such Current Report on Form 8-K, the Company acknowledges and agrees that any and all confidentiality or similar obligations under any agreement, whether written or oral, between the Company, any of its Subsidiaries or any of their respective officers, directors, agents, employees, Affiliates or agents on the one hand, and any of the Purchasers on the other hand, in each case solely with respect to the transactions contemplated by this Agreement,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the Registration Statement and (ii) the filing of final Transaction Documents (or disclosure with respect thereto)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any notice provided pursuant to any Transaction Document constitutes, or contains, material, non-public information regarding the Company or any Subsidiaries, the Company shall simultaneously with the delivery of such notice disclose the publicly content thereof in a manner that complies with Regulation FD.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w:t>
      </w:r>
      <w:r>
        <w:rPr>
          <w:rFonts w:ascii="Times New Roman;Times;Serif" w:hAnsi="Times New Roman;Times;Serif"/>
          <w:b w:val="false"/>
          <w:i w:val="false"/>
          <w:caps w:val="false"/>
          <w:smallCaps w:val="false"/>
          <w:sz w:val="20"/>
          <w:u w:val="single"/>
        </w:rPr>
        <w:t>Reservation of Ordinary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Ordinary Shares for the purpose of enabling the Company to issue Shares pursuant to this Agreement and Warrant Shares pursuant to any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w:t>
      </w:r>
      <w:r>
        <w:rPr>
          <w:rFonts w:ascii="Times New Roman;Times;Serif" w:hAnsi="Times New Roman;Times;Serif"/>
          <w:b w:val="false"/>
          <w:i w:val="false"/>
          <w:caps w:val="false"/>
          <w:smallCaps w:val="false"/>
          <w:sz w:val="20"/>
          <w:u w:val="single"/>
        </w:rPr>
        <w:t>Listing of Ordinary Shares</w:t>
      </w:r>
      <w:r>
        <w:rPr>
          <w:rFonts w:ascii="Times New Roman;Times;Serif" w:hAnsi="Times New Roman;Times;Serif"/>
          <w:b w:val="false"/>
          <w:i w:val="false"/>
          <w:caps w:val="false"/>
          <w:smallCaps w:val="false"/>
          <w:sz w:val="20"/>
        </w:rPr>
        <w:t>. The Company hereby agrees to use reasonable best efforts to maintain the listing or quotation of the Ordinary Shares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Ordinary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Ordinary Shares on a Trading Market and will comply in all material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4.10       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in this section 4.11 shall only apply with respect to the portion of assets managed by the portfolio manager that made the investment decision to purchase the Securities covered by this Agreement.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commencing on the Closing Date and ending on the one-year anniversary of the Closing Date, the Company shall not, without prior receipt of the Requisite Consent, directly or indirectly by merger or otherwise issue any equity securities with relative rights or preferences that are senior to the Ordinary Shares or that are convertible into or exercisable for equity securities with relative rights or preferences that are senior to the Ordinary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4.13       </w:t>
      </w:r>
      <w:r>
        <w:rPr>
          <w:rFonts w:ascii="Times New Roman;Times;Serif" w:hAnsi="Times New Roman;Times;Serif"/>
          <w:b w:val="false"/>
          <w:i w:val="false"/>
          <w:caps w:val="false"/>
          <w:smallCaps w:val="false"/>
          <w:sz w:val="20"/>
          <w:u w:val="single"/>
        </w:rPr>
        <w:t>Blue Sky Filings</w:t>
      </w:r>
      <w:r>
        <w:rPr>
          <w:rFonts w:ascii="Times New Roman;Times;Serif" w:hAnsi="Times New Roman;Times;Serif"/>
          <w:b w:val="false"/>
          <w:i w:val="false"/>
          <w:caps w:val="false"/>
          <w:smallCaps w:val="false"/>
          <w:sz w:val="20"/>
        </w:rPr>
        <w:t>. The Company shall take such action as the Company shall reasonably determine is necessary in order to obtain an exemption for, or to qualify the Securities for, sale to the Purchaser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4.14       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4.15       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 in order to exercise the Warrants. No additional legal opinion, other information or instructions shall be required of the Purchases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4.16       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Closing, BVF shall have the right to designate two designees (the “</w:t>
      </w:r>
      <w:r>
        <w:rPr>
          <w:rFonts w:ascii="Times New Roman;Times;Serif" w:hAnsi="Times New Roman;Times;Serif"/>
          <w:b w:val="false"/>
          <w:i w:val="false"/>
          <w:caps w:val="false"/>
          <w:smallCaps w:val="false"/>
          <w:sz w:val="20"/>
          <w:u w:val="single"/>
        </w:rPr>
        <w:t>BVF Designees</w:t>
      </w:r>
      <w:r>
        <w:rPr>
          <w:rFonts w:ascii="Times New Roman;Times;Serif" w:hAnsi="Times New Roman;Times;Serif"/>
          <w:b w:val="false"/>
          <w:i w:val="false"/>
          <w:caps w:val="false"/>
          <w:smallCaps w:val="false"/>
          <w:sz w:val="20"/>
        </w:rPr>
        <w:t>”) to serve as members of the Board of Directors. At the Closing, or as promptly as reasonably practicable thereafter (and, with respect to each BVF Designee, in any event within ten (10) Business Days after BVF’s designation of such BVF Designee and such BVF Designee’s qualification to serve as a director as provided in this Section 4.16(a)), the Company shall cause the Board of Directors to take all actions necessary to appoint each BVF Designee to the Board of Directors, including, to the extent necessary, increasing the number of directors constituting the entire Board of Directors and appointing each BVF Designee to fill the resulting vacancy, in each case pursuant to the power of the Board of Directors under the Company’s Articles of Association, as amended, to appoint directors (up to the maximum number of directors permitted thereunder) without any meeting or vote of the Company’s shareholders. Thereafter, the Board of Directors shall, upon each such BVF Designee’s qualification to serve as a director, include such BVF Designee in the slate of nominees to be elected or appointed to the Board of Directors at the next (and each applicable subsequent) annual meeting of shareholders at which directors are elected to the Board of Directors, and shall nominate, recommend and solicit proxies for such BVF Designee’s election to the same extent as for the Board of Directors’ other nominees. BVF and the Company agree that each BVF Designee must satisfy all applicable requirements regarding service as a director of the Company under applicable law and Nasdaq rules (or the rules of the principal market on which the Ordinary Shares are then listed) and such other criteria and qualifications for service as a director applicable to all directors of the Company as in effect as of the Closing Date and from time to time thereafter, including all applicable provisions of the Israeli Companies Law, 1999 and the rules and regulations promulgated thereunder (the “</w:t>
      </w:r>
      <w:r>
        <w:rPr>
          <w:rFonts w:ascii="Times New Roman;Times;Serif" w:hAnsi="Times New Roman;Times;Serif"/>
          <w:b w:val="false"/>
          <w:i w:val="false"/>
          <w:caps w:val="false"/>
          <w:smallCaps w:val="false"/>
          <w:sz w:val="20"/>
          <w:u w:val="single"/>
        </w:rPr>
        <w:t>Companies Law</w:t>
      </w:r>
      <w:r>
        <w:rPr>
          <w:rFonts w:ascii="Times New Roman;Times;Serif" w:hAnsi="Times New Roman;Times;Serif"/>
          <w:b w:val="false"/>
          <w:i w:val="false"/>
          <w:caps w:val="false"/>
          <w:smallCaps w:val="false"/>
          <w:sz w:val="20"/>
        </w:rPr>
        <w:t>”) and under all applicable and bona fide corporate governance policies and guidelines of the Company and the Board. In the event of the death, disability, resignation or removal of any BVF Designee as a member of the Board, BVF shall be entitled to designate a BVF Designee to replace such BVF Designee and, subject to this Section 4.16(a), the Company’s Articles of Association, as amended, and any applicable provisions of the Companies Law, the Company shall cause such BVF Designee to fill such resulting vacancy. For so long as BVF is entitled to designate at least one BVF Designee, one BVF Designee (designated by BVF) shall be appointed to the Company’s Nominating and Governance Committee, subject to applicable independence and other eligibility requirements. As a condition to service on the Board of Directors, each BVF Designee shall enter into an agreement with the Company to resign from the Board of Directors upon the occurrence of (i) the Initial Fall-Away Event or BVF’s failure to satisfy the Minimum Beneficial Ownership Requirement and (ii) the requirement that such BVF Designee resign, as provided in Section 4.16(b).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upon BVF ceasing to beneficially own at least 75.0% of the Ordinary Shares acquired pursuant to this Agreement (calculated in accordance with Rule 13d-3 under the Exchange Act but without giving effect to any beneficial ownership, conversion or exercise limitation contained in the Pre-Funded Warrants), BVF’s right to designate two designees for nomination pursuant to Section 4.16(a) shall be reduced to one designee (the “</w:t>
      </w:r>
      <w:r>
        <w:rPr>
          <w:rFonts w:ascii="Times New Roman;Times;Serif" w:hAnsi="Times New Roman;Times;Serif"/>
          <w:b w:val="false"/>
          <w:i w:val="false"/>
          <w:caps w:val="false"/>
          <w:smallCaps w:val="false"/>
          <w:sz w:val="20"/>
          <w:u w:val="single"/>
        </w:rPr>
        <w:t>Initial Fall-Away Event</w:t>
      </w:r>
      <w:r>
        <w:rPr>
          <w:rFonts w:ascii="Times New Roman;Times;Serif" w:hAnsi="Times New Roman;Times;Serif"/>
          <w:b w:val="false"/>
          <w:i w:val="false"/>
          <w:caps w:val="false"/>
          <w:smallCaps w:val="false"/>
          <w:sz w:val="20"/>
        </w:rPr>
        <w:t>”). At such time, at the written request of the Board, one BVF Designee (which may be selected by BVF or, if BVF does not make such selection within five (5) Business Days of receipt of such written request, by the Board) shall, and BVF shall cause such BVF Designee to, resign from the Board effective as of the thirtieth (30th) day following such request. Additionally, upon BVF ceasing to beneficially own either (i) at least 50.0% of the Ordinary Shares acquired pursuant to this Agreement (calculated in accordance with Rule 13d-3 under the Exchange Act but without giving effect to any beneficial ownership, conversion or exercise limitation contained in the Pre-Funded Warrants) or (ii) 10.0% of the Company’s issued and outstanding Ordinary Shares (calculated in accordance with Rule 13d-3 under the Exchange Act, but without giving effect to any beneficial ownership, conversion or exercise limitation contained in any warrants or other derivative securities, including any pre-funded warrants) (the “</w:t>
      </w:r>
      <w:r>
        <w:rPr>
          <w:rFonts w:ascii="Times New Roman;Times;Serif" w:hAnsi="Times New Roman;Times;Serif"/>
          <w:b w:val="false"/>
          <w:i w:val="false"/>
          <w:caps w:val="false"/>
          <w:smallCaps w:val="false"/>
          <w:sz w:val="20"/>
          <w:u w:val="single"/>
        </w:rPr>
        <w:t>Minimum Beneficial Ownership Requirement</w:t>
      </w:r>
      <w:r>
        <w:rPr>
          <w:rFonts w:ascii="Times New Roman;Times;Serif" w:hAnsi="Times New Roman;Times;Serif"/>
          <w:b w:val="false"/>
          <w:i w:val="false"/>
          <w:caps w:val="false"/>
          <w:smallCaps w:val="false"/>
          <w:sz w:val="20"/>
        </w:rPr>
        <w:t>”), BVF’s right to designate any designees for nomination pursuant to Section 4.16(a) shall terminate in full. At such time, at the written request of the Board, all BVF Designees shall, and BVF shall cause all BVF Designees to, resign from the Board effective as of the thirtieth (30th) day following such request. For the elimination of doubt, the calculation of the 75.0% and 50.0% beneficial ownership thresholds specified in this Section 4.16(b) shall include all Ordinary Shares purchased by BVF hereunder plus all Ordinary Shares issuable upon all Pre-Funded Warrants purchased by BVF hereunder (without giving effect to any beneficial ownership, conversion or exercise limitation contained in such Pre-Funded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so long as the Minimum Beneficial Ownership Requirement is satisfied, the Company shall not decrease the size of the Board of Directors if such decrease would require the resignation of any BVF Designee without the consent of BVF (which may be withheld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indemnify BVF Designees and provide BVF Designees with director and officer insurance to the same extent as it indemnifies and provides such insurance to other members of the Board of Directors, pursuant to the Company’s Articles of Association, as amended, and any applicable provisions of Companies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its commercially reasonable efforts, in reasonable consultation with each BVF Designee then serving, to identify and either appoint or put forth for election two additional independent Board of Director members (each a “</w:t>
      </w:r>
      <w:r>
        <w:rPr>
          <w:rFonts w:ascii="Times New Roman;Times;Serif" w:hAnsi="Times New Roman;Times;Serif"/>
          <w:b w:val="false"/>
          <w:i w:val="false"/>
          <w:caps w:val="false"/>
          <w:smallCaps w:val="false"/>
          <w:sz w:val="20"/>
          <w:u w:val="single"/>
        </w:rPr>
        <w:t>New Independent Directo</w:t>
      </w:r>
      <w:r>
        <w:rPr>
          <w:rFonts w:ascii="Times New Roman;Times;Serif" w:hAnsi="Times New Roman;Times;Serif"/>
          <w:b w:val="false"/>
          <w:i w:val="false"/>
          <w:caps w:val="false"/>
          <w:smallCaps w:val="false"/>
          <w:sz w:val="20"/>
        </w:rPr>
        <w:t>r”), with such appointment or election anticipated to occur at or prior to the Company’s 2027 annual general meeting, but, subject to the qualification of such additional directors, no later than 18 months following the Closing Date. Prior to, or at such a time as, a New Independent Director is appointed, as part of an orderly succession plan and otherwise in accordance with good governance practices, the Company shall, subject to applicable law, direct that an existing independent member resign from the Board of Directors. Upon the Closing, the Company shall, within the time period required by SEC rules, file a Current Report on Form 8-K disclosing the intended orderly transition of two members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4.17       </w:t>
      </w:r>
      <w:r>
        <w:rPr>
          <w:rFonts w:ascii="Times New Roman;Times;Serif" w:hAnsi="Times New Roman;Times;Serif"/>
          <w:b w:val="false"/>
          <w:i w:val="false"/>
          <w:caps w:val="false"/>
          <w:smallCaps w:val="false"/>
          <w:sz w:val="20"/>
          <w:u w:val="single"/>
        </w:rPr>
        <w:t>Agreement to Vote</w:t>
      </w:r>
      <w:r>
        <w:rPr>
          <w:rFonts w:ascii="Times New Roman;Times;Serif" w:hAnsi="Times New Roman;Times;Serif"/>
          <w:b w:val="false"/>
          <w:i w:val="false"/>
          <w:caps w:val="false"/>
          <w:smallCaps w:val="false"/>
          <w:sz w:val="20"/>
        </w:rPr>
        <w:t>. Each Purchaser agrees that, from and after the date hereof and until the Voting Termination Date, at any meeting of the shareholders of the Company or any adjournment or postponement thereof, such Purchaser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meeting pertains to any of the matters described in subparagraph (b) below, appear at such meeting or otherwise cause all outstanding Ordinary Shares beneficially owned by such Purchaser (“</w:t>
      </w:r>
      <w:r>
        <w:rPr>
          <w:rFonts w:ascii="Times New Roman;Times;Serif" w:hAnsi="Times New Roman;Times;Serif"/>
          <w:b w:val="false"/>
          <w:i w:val="false"/>
          <w:caps w:val="false"/>
          <w:smallCaps w:val="false"/>
          <w:sz w:val="20"/>
          <w:u w:val="single"/>
        </w:rPr>
        <w:t>Purchaser Shares</w:t>
      </w:r>
      <w:r>
        <w:rPr>
          <w:rFonts w:ascii="Times New Roman;Times;Serif" w:hAnsi="Times New Roman;Times;Serif"/>
          <w:b w:val="false"/>
          <w:i w:val="false"/>
          <w:caps w:val="false"/>
          <w:smallCaps w:val="false"/>
          <w:sz w:val="20"/>
        </w:rPr>
        <w:t>”) to be counted as present thereat for purposes of calculating a quorum;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vote (or cause to be voted) all Purchaser Shares that such Purchaser shall be entitled to so vote (or cause to be voted): (i) in favor of approval and adoption of those matters described on Schedule 4.17 (the “</w:t>
      </w:r>
      <w:r>
        <w:rPr>
          <w:rFonts w:ascii="Times New Roman;Times;Serif" w:hAnsi="Times New Roman;Times;Serif"/>
          <w:b w:val="false"/>
          <w:i w:val="false"/>
          <w:caps w:val="false"/>
          <w:smallCaps w:val="false"/>
          <w:sz w:val="20"/>
          <w:u w:val="single"/>
        </w:rPr>
        <w:t>Supported Proposals</w:t>
      </w:r>
      <w:r>
        <w:rPr>
          <w:rFonts w:ascii="Times New Roman;Times;Serif" w:hAnsi="Times New Roman;Times;Serif"/>
          <w:b w:val="false"/>
          <w:i w:val="false"/>
          <w:caps w:val="false"/>
          <w:smallCaps w:val="false"/>
          <w:sz w:val="20"/>
        </w:rPr>
        <w:t>”); and (ii) against any proposal that, if adopted, would be directly inconsistent with, or would prevent the approval of, the Supported Proposals. Such Purchaser shall not take or commit or agree to take any action (or fail to take any action) inconsistent with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elimination of doubt, a Purchaser’s “Purchaser Shares” includes all outstanding Ordinary Shares beneficially held by such Purchaser, irrespective of whether such Ordinary Shares were acquired prior to, on or after the Closing Date, and irrespective of whether such Ordinary Shares were acquired hereunder or upon exercise of Pre-Funded Warrants acquired hereunder. All of a Purchaser’s Purchaser Shares shall be subject to the terms and conditions of this Section 4.17 to the same extent as if they constituted Ordinary Shares beneficially owned by Purchaser on the date hereof or on the Closing Date. Each Purchaser shall notify the Company as promptly as reasonably practicable following the Company’s request (and in any event within five Business Days after receipt of such request) orally or in writing of the number of Purchaser Shares held by such Purchaser. For purposes hereof, the “Voting Termination Date” means the earliest of (i) the date on which each Supported Proposal has been voted upon and approved at a duly convened meeting of shareholders, (ii) the date that is eighteen (18) months following the Closing Date, and (iii) if Closing has not occurred,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Irrevocable Proxy. By execution of this Agreement, each Purchaser does hereby appoint the Company with full power of substitution and resubstitution, as such Purchaser’s true and lawful attorney and irrevocable proxy, to the fullest extent of the undersigned’s rights with respect to such Purchaser’s Purchaser Shares, to vote, express consent or dissent or otherwise utilize the voting power with respect to each of such Purchaser Shares, in each case only if such Purchaser does not perform his, her or its obligations under this Agreement and solely with respect to the matters set forth in Section 4.17(b), as the Company or its proxy or substitute shall, in the Company’s sole discretion, deem proper with respect to such Purchaser Shares. Such Purchaser intends this proxy to be irrevocable and coupled with an interest hereunder. Each Purchaser hereby revokes any proxies previously granted with respect to such Purchaser’s Purchaser Shares and represents and warrants that none of such previously-granted proxies are irrevocable. The foregoing irrevocable proxy shall become effective at the Closing and shall terminate on the date immediately following the Voting Termination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4.18       </w:t>
      </w:r>
      <w:r>
        <w:rPr>
          <w:rFonts w:ascii="Times New Roman;Times;Serif" w:hAnsi="Times New Roman;Times;Serif"/>
          <w:b w:val="false"/>
          <w:i w:val="false"/>
          <w:caps w:val="false"/>
          <w:smallCaps w:val="false"/>
          <w:sz w:val="20"/>
          <w:u w:val="single"/>
        </w:rPr>
        <w:t>Meeting for Supported Proposals</w:t>
      </w:r>
      <w:r>
        <w:rPr>
          <w:rFonts w:ascii="Times New Roman;Times;Serif" w:hAnsi="Times New Roman;Times;Serif"/>
          <w:b w:val="false"/>
          <w:i w:val="false"/>
          <w:caps w:val="false"/>
          <w:smallCaps w:val="false"/>
          <w:sz w:val="20"/>
        </w:rPr>
        <w:t>. As soon as reasonably practicable following the Closing, pursuant to a special meeting of the shareholders of the Company anticipated to be held in the fourth quarter of 2026 but in no event later than twelve (12) months following the Closing, the Company shall put forth the Supported Proposals to a vote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date hereof; (ii) upon mutual consent of the Company and the Purchasers, as to such Purchaser’s obligations hereunder only and without any effect whatsoever on the obligations between the Company and the other Purchasers; and (iii) by any Purchaser, as to such Purchaser’s obligations hereunder only and without any effect whatsoever on the obligations between the Company and the other Purchasers, if any of the conditions set forth in Section ‎2.3(b) shall become incapable of fulfillment and shall not have been waived by such Purchaser; provided, however,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 (excluding any successors or assigns thereof). Notwithstanding the foregoing, the Company shall pay the documented fees and expenses of up to two separate counsels for BVF, in an amount not to exceed $200,000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Other than Section 4.16 of this Agreement, no provision of this Agreement may be waived, modified, supplemented or amended except in a written instrument signed, in the case of an amendment, by the Company and with the Requisite Consent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a majority in interest (based on the Subscription Amounts hereunder) of such disproportionately impacted Purchaser (or group of Purchasers) shall also be required. For the avoidance of doubt, any amendment to Section 4.16 shall only require the written consent of BVF and the Company.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 For the avoidance of doubt, Sections 3.1(x), 3.1(pp), 5.8, 5.18 and 5.19 hereof shall not be amended without the consent of any Placement Agent to be affected by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in accordance with the terms of this Agreement and the applicable Securities, provided (i) that such transferee agrees in writing to be bound, with respect to the transferred Securities, by the provisions of the Transaction Documents that apply to the “Purchasers” and (ii) notwithstanding the foregoing, BVF shall not be permitted to assign its rights under Section 4.16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as explicitly set forth herein. Notwithstanding the foregoing, the Placement Agents are an intended third-party beneficiary of Sections 5.18 and 5.19.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that would result in the application of the laws of any jurisdiction other than the State of New York.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electronic signature (including via DocuSign), facsimile transmission or by e-mail delivery of a “.pdf” (or similar) format data file, such signature shall create a valid and binding obligation of the party executing (or on whose behalf such signature is executed) with the same force and effect as if such electronic, facsimile or “.pdf” (or similar)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an exercise of a Warrant, the applicable Purchaser shall be required to return any Ordinary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5.17       </w:t>
      </w:r>
      <w:r>
        <w:rPr>
          <w:rFonts w:ascii="Times New Roman;Times;Serif" w:hAnsi="Times New Roman;Times;Serif"/>
          <w:b w:val="false"/>
          <w:i w:val="false"/>
          <w:caps w:val="false"/>
          <w:smallCaps w:val="false"/>
          <w:sz w:val="20"/>
          <w:u w:val="single"/>
        </w:rPr>
        <w:t xml:space="preserve">Independent Nature of Purchasers’ Obligations and Rights. </w:t>
      </w:r>
      <w:r>
        <w:rPr>
          <w:rFonts w:ascii="Times New Roman;Times;Serif" w:hAnsi="Times New Roman;Times;Serif"/>
          <w:b w:val="false"/>
          <w:i w:val="false"/>
          <w:caps w:val="false"/>
          <w:smallCaps w:val="false"/>
          <w:sz w:val="20"/>
        </w:rPr>
        <w:t>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5.18       </w:t>
      </w:r>
      <w:r>
        <w:rPr>
          <w:rFonts w:ascii="Times New Roman;Times;Serif" w:hAnsi="Times New Roman;Times;Serif"/>
          <w:b w:val="false"/>
          <w:i w:val="false"/>
          <w:caps w:val="false"/>
          <w:smallCaps w:val="false"/>
          <w:sz w:val="20"/>
          <w:u w:val="single"/>
        </w:rPr>
        <w:t>Reliance by the Placement Agents</w:t>
      </w:r>
      <w:r>
        <w:rPr>
          <w:rFonts w:ascii="Times New Roman;Times;Serif" w:hAnsi="Times New Roman;Times;Serif"/>
          <w:b w:val="false"/>
          <w:i w:val="false"/>
          <w:caps w:val="false"/>
          <w:smallCaps w:val="false"/>
          <w:sz w:val="20"/>
        </w:rPr>
        <w:t>. The parties agree and acknowledge that each Placement Agent may rely on the representations, warranties, agreements and covenants of the Company contained in this Agreement and may rely on the representations and warranties of the respective Investors contained in this Agreement as if such representations, warranties, agreements, and covenants, as applicable, were made directly to the Placement Agents. The parties further agreement that each Placement Agent may rely on or, if each Placement Agent so requests, be specifically named as an addressee of, the legal opinions to be delivered pursuant to Section 2.2(a)(vi)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5.19       </w:t>
      </w:r>
      <w:r>
        <w:rPr>
          <w:rFonts w:ascii="Times New Roman;Times;Serif" w:hAnsi="Times New Roman;Times;Serif"/>
          <w:b w:val="false"/>
          <w:i w:val="false"/>
          <w:caps w:val="false"/>
          <w:smallCaps w:val="false"/>
          <w:sz w:val="20"/>
        </w:rPr>
        <w:t>Exculpation of the Placement Agents. Each party hereto agrees for the express benefit of each Placement Agent, their respective affiliates and their respective representatives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Placement Agents nor any of their respective affiliates or any of their respective representatives (i) have any duties or obligations other than those specifically set forth herein or in the engagement letter, dated as of July 23, 2026, together with the joinder letter dated as of July 26, 2026, among the Company and Placement Agents (the “</w:t>
      </w:r>
      <w:r>
        <w:rPr>
          <w:rFonts w:ascii="Times New Roman;Times;Serif" w:hAnsi="Times New Roman;Times;Serif"/>
          <w:b w:val="false"/>
          <w:i w:val="false"/>
          <w:caps w:val="false"/>
          <w:smallCaps w:val="false"/>
          <w:sz w:val="20"/>
          <w:u w:val="single"/>
        </w:rPr>
        <w:t>Engagement Letter</w:t>
      </w:r>
      <w:r>
        <w:rPr>
          <w:rFonts w:ascii="Times New Roman;Times;Serif" w:hAnsi="Times New Roman;Times;Serif"/>
          <w:b w:val="false"/>
          <w:i w:val="false"/>
          <w:caps w:val="false"/>
          <w:smallCaps w:val="false"/>
          <w:sz w:val="20"/>
        </w:rPr>
        <w:t>”); (ii) shall be liable for any improper payment made in accordance with the information provided by the Company; (iii) make any representation or warranty, or have any responsibilities as to the validity, accuracy, value or genuineness of any information, certificates or documentation delivered by or on behalf of the Company pursuant to this Agreement or the Transaction Documents or in connection with any of the transactions; or (iv) shall be liable (A) for any action taken, suffered or omitted by any of them in good faith and reasonably believed to be authorized or within the discretion or rights or powers conferred upon it by this Agreement or any Transaction Document or (B) for anything which any of them may do or refrain from doing in connection with this Agreement or any Transaction Document, except for such party’s own gross negligence, willful misconduct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limitation of the foregoing, each party hereto hereby further acknowledges and agrees that (i) each Placement Agent is acting solely as placement agent in connection with the transactions contemplated hereby and is not acting as an underwriter, initial purchaser, dealer or in any other such capacity and is not and shall not be construed as a fiduciary for any Investor, the Company or any other person or entity in connection with the transactions contemplated hereby, (ii) each Placement Agent has not made and will not make any representation or warranty, whether express or implied, of any kind or character and has not provided any advice or recommendation in connection with the transactions contemplated hereby, and (iii) each Placement Agent will have no responsibility with respect to (A) any representations, warranties or agreements made by any person or entity under or in connection with the transactions contemplated hereby or any of the documents furnished pursuant thereto or in connection therewith, or the execution, legality, validity or enforceability (with respect to any person) of any thereof, or (B) the financial condition, business, or any other matter concerning the Company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Placement Agent, their respective affiliates and their respective representatives shall be entitled to (i) rely on, and shall be protected in acting upon, any certificate, instrument, opinion, notice, letter or any other document or security delivered to any of them by or on behalf of the Company, and (ii) be indemnified by the Company for acting as Placement Agents, hereunder pursuant the indemnification provisions set forth in the Engagement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5.20       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5.21       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of the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5.22       </w:t>
      </w:r>
      <w:r>
        <w:rPr>
          <w:rFonts w:ascii="Times New Roman;Times;Serif" w:hAnsi="Times New Roman;Times;Serif"/>
          <w:b w:val="false"/>
          <w:i w:val="false"/>
          <w:caps w:val="false"/>
          <w:smallCaps w:val="false"/>
          <w:sz w:val="20"/>
        </w:rPr>
        <w:t>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4115"/>
        <w:gridCol w:w="1595"/>
      </w:tblGrid>
      <w:tr>
        <w:trPr/>
        <w:tc>
          <w:tcPr>
            <w:tcW w:w="4115" w:type="dxa"/>
            <w:tcBorders/>
            <w:vAlign w:val="center"/>
          </w:tcPr>
          <w:p>
            <w:pPr>
              <w:pStyle w:val="TableContents"/>
              <w:bidi w:val="0"/>
              <w:spacing w:before="0" w:after="283"/>
              <w:jc w:val="left"/>
              <w:rPr>
                <w:b/>
                <w:sz w:val="20"/>
              </w:rPr>
            </w:pPr>
            <w:r>
              <w:rPr>
                <w:b/>
                <w:sz w:val="20"/>
              </w:rPr>
              <w:t>ENTERA BIO LTD.</w:t>
            </w:r>
          </w:p>
        </w:tc>
        <w:tc>
          <w:tcPr>
            <w:tcW w:w="1595" w:type="dxa"/>
            <w:tcBorders/>
            <w:vAlign w:val="center"/>
          </w:tcPr>
          <w:p>
            <w:pPr>
              <w:pStyle w:val="TableContents"/>
              <w:bidi w:val="0"/>
              <w:spacing w:before="0" w:after="283"/>
              <w:jc w:val="left"/>
              <w:rPr>
                <w:sz w:val="20"/>
                <w:u w:val="single"/>
              </w:rPr>
            </w:pPr>
            <w:r>
              <w:rPr>
                <w:sz w:val="20"/>
                <w:u w:val="single"/>
              </w:rPr>
              <w:t>Address for Notice:</w:t>
            </w:r>
          </w:p>
        </w:tc>
      </w:tr>
      <w:tr>
        <w:trPr/>
        <w:tc>
          <w:tcPr>
            <w:tcW w:w="411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Miranda Toledano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Miranda Toledano</w:t>
              <w:br/>
              <w:t>Chief Executive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tc>
        <w:tc>
          <w:tcPr>
            <w:tcW w:w="1595" w:type="dxa"/>
            <w:tcBorders/>
            <w:vAlign w:val="center"/>
          </w:tcPr>
          <w:p>
            <w:pPr>
              <w:pStyle w:val="TableContents"/>
              <w:bidi w:val="0"/>
              <w:spacing w:before="0" w:after="283"/>
              <w:jc w:val="left"/>
              <w:rPr>
                <w:sz w:val="20"/>
              </w:rPr>
            </w:pPr>
            <w:r>
              <w:rPr>
                <w:sz w:val="20"/>
              </w:rPr>
              <w:t xml:space="preserve">Email: </w:t>
            </w:r>
            <w:r>
              <w:rPr>
                <w:sz w:val="20"/>
                <w:u w:val="single"/>
              </w:rPr>
              <w:t>[***]</w:t>
            </w:r>
          </w:p>
        </w:tc>
      </w:tr>
      <w:tr>
        <w:trPr/>
        <w:tc>
          <w:tcPr>
            <w:tcW w:w="411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S.E. 2nd Avenue, Suite 4400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 33131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Drew M. Altman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tc>
        <w:tc>
          <w:tcPr>
            <w:tcW w:w="15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SIGNATURE PAGE TO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910"/>
        <w:gridCol w:w="75"/>
      </w:tblGrid>
      <w:tr>
        <w:trPr/>
        <w:tc>
          <w:tcPr>
            <w:tcW w:w="1910" w:type="dxa"/>
            <w:tcBorders/>
            <w:vAlign w:val="center"/>
          </w:tcPr>
          <w:p>
            <w:pPr>
              <w:pStyle w:val="TableContents"/>
              <w:bidi w:val="0"/>
              <w:spacing w:before="0" w:after="283"/>
              <w:jc w:val="left"/>
              <w:rPr/>
            </w:pPr>
            <w:r>
              <w:rPr/>
              <w:t>Name of Purchaser: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4595"/>
        <w:gridCol w:w="75"/>
      </w:tblGrid>
      <w:tr>
        <w:trPr/>
        <w:tc>
          <w:tcPr>
            <w:tcW w:w="4595" w:type="dxa"/>
            <w:tcBorders/>
            <w:vAlign w:val="center"/>
          </w:tcPr>
          <w:p>
            <w:pPr>
              <w:pStyle w:val="TableContents"/>
              <w:bidi w:val="0"/>
              <w:spacing w:before="0" w:after="283"/>
              <w:jc w:val="left"/>
              <w:rPr/>
            </w:pPr>
            <w:r>
              <w:rPr/>
              <w:t>Signature of Authorized Signatory of Purchaser: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3020"/>
        <w:gridCol w:w="75"/>
      </w:tblGrid>
      <w:tr>
        <w:trPr/>
        <w:tc>
          <w:tcPr>
            <w:tcW w:w="3020" w:type="dxa"/>
            <w:tcBorders/>
            <w:vAlign w:val="center"/>
          </w:tcPr>
          <w:p>
            <w:pPr>
              <w:pStyle w:val="TableContents"/>
              <w:bidi w:val="0"/>
              <w:spacing w:before="0" w:after="283"/>
              <w:jc w:val="left"/>
              <w:rPr/>
            </w:pPr>
            <w:r>
              <w:rPr/>
              <w:t>Name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885"/>
        <w:gridCol w:w="75"/>
      </w:tblGrid>
      <w:tr>
        <w:trPr/>
        <w:tc>
          <w:tcPr>
            <w:tcW w:w="2885" w:type="dxa"/>
            <w:tcBorders/>
            <w:vAlign w:val="center"/>
          </w:tcPr>
          <w:p>
            <w:pPr>
              <w:pStyle w:val="TableContents"/>
              <w:bidi w:val="0"/>
              <w:spacing w:before="0" w:after="283"/>
              <w:jc w:val="left"/>
              <w:rPr/>
            </w:pPr>
            <w:r>
              <w:rPr/>
              <w:t>Title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3845"/>
        <w:gridCol w:w="75"/>
      </w:tblGrid>
      <w:tr>
        <w:trPr/>
        <w:tc>
          <w:tcPr>
            <w:tcW w:w="3845" w:type="dxa"/>
            <w:tcBorders/>
            <w:vAlign w:val="center"/>
          </w:tcPr>
          <w:p>
            <w:pPr>
              <w:pStyle w:val="TableContents"/>
              <w:bidi w:val="0"/>
              <w:spacing w:before="0" w:after="283"/>
              <w:jc w:val="left"/>
              <w:rPr/>
            </w:pPr>
            <w:r>
              <w:rPr/>
              <w:t>Email Address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3125"/>
        <w:gridCol w:w="75"/>
      </w:tblGrid>
      <w:tr>
        <w:trPr/>
        <w:tc>
          <w:tcPr>
            <w:tcW w:w="3125" w:type="dxa"/>
            <w:tcBorders/>
            <w:vAlign w:val="center"/>
          </w:tcPr>
          <w:p>
            <w:pPr>
              <w:pStyle w:val="TableContents"/>
              <w:bidi w:val="0"/>
              <w:spacing w:before="0" w:after="283"/>
              <w:jc w:val="left"/>
              <w:rPr/>
            </w:pPr>
            <w:r>
              <w:rPr/>
              <w:t>Address for Notice to Purchaser:</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 Beneficial Ownership Blocker (if desired): ☐ 4.99% or ☐ 9.99% or ☐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Underlying Pre-Funded Warrants: ____________________</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 -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Registration Rights Agreement -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Supported Proposals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60"/>
        <w:ind w:left="115" w:right="115" w:hanging="0"/>
        <w:jc w:val="left"/>
        <w:rPr>
          <w:bdr w:val="single" w:sz="16" w:space="1" w:color="000000"/>
        </w:rPr>
      </w:pPr>
      <w:bookmarkStart w:id="25" w:name="exhibit_10-2.htm"/>
      <w:bookmarkStart w:id="26" w:name="ksexhibit_102"/>
      <w:bookmarkEnd w:id="25"/>
      <w:bookmarkEnd w:id="26"/>
      <w:r>
        <w:rPr>
          <w:bdr w:val="single" w:sz="16" w:space="1" w:color="000000"/>
        </w:rPr>
        <w:t> </w:t>
      </w:r>
      <w:r>
        <w:br w:type="page"/>
      </w:r>
    </w:p>
    <w:p>
      <w:pPr>
        <w:pStyle w:val="TextBody"/>
        <w:bidi w:val="0"/>
        <w:spacing w:before="0" w:after="0"/>
        <w:ind w:left="115" w:right="115"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10.2</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ORDINARY SHARE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565"/>
        <w:gridCol w:w="2075"/>
      </w:tblGrid>
      <w:tr>
        <w:trPr/>
        <w:tc>
          <w:tcPr>
            <w:tcW w:w="1565" w:type="dxa"/>
            <w:tcBorders/>
            <w:vAlign w:val="center"/>
          </w:tcPr>
          <w:p>
            <w:pPr>
              <w:pStyle w:val="TableContents"/>
              <w:bidi w:val="0"/>
              <w:spacing w:before="0" w:after="283"/>
              <w:jc w:val="left"/>
              <w:rPr>
                <w:sz w:val="20"/>
              </w:rPr>
            </w:pPr>
            <w:r>
              <w:rPr>
                <w:sz w:val="20"/>
              </w:rPr>
              <w:t>Warrant Shares: [</w:t>
            </w:r>
            <w:r>
              <w:rPr>
                <w:rFonts w:ascii="Symbol" w:hAnsi="Symbol"/>
                <w:sz w:val="20"/>
              </w:rPr>
              <w:t>·</w:t>
            </w:r>
            <w:r>
              <w:rPr>
                <w:sz w:val="20"/>
              </w:rPr>
              <w:t>]</w:t>
            </w:r>
          </w:p>
        </w:tc>
        <w:tc>
          <w:tcPr>
            <w:tcW w:w="2075" w:type="dxa"/>
            <w:tcBorders/>
            <w:vAlign w:val="center"/>
          </w:tcPr>
          <w:p>
            <w:pPr>
              <w:pStyle w:val="TableContents"/>
              <w:bidi w:val="0"/>
              <w:spacing w:before="0" w:after="283"/>
              <w:jc w:val="right"/>
              <w:rPr>
                <w:sz w:val="20"/>
              </w:rPr>
            </w:pPr>
            <w:r>
              <w:rPr>
                <w:sz w:val="20"/>
              </w:rPr>
              <w:t>Issue Date: July 28,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PRE-FUNDED ORDINARY SHARE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[HOLDER]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Ordinary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Ordinary Share under this Warrant shall be equal to the Exercise Price, as defined in Section ‎Section 2.b). The Warrant is being issued pursuant to that certain Securities Purchase Agreement, dated July 26, 2026, among the Company and the purchasers signatory thereto, as amended and/or restated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tab/>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tab/>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two (2) Trading Days and (ii) the number of Trading Days comprising the Standard Settlement Period (as defined in Section ‎Section 2.d)(i) herein) following the date of exercise as aforesaid, the Holder shall deliver the aggregate Exercise Price for the Warrant Shares specified in the applicable Notice of Exercise (the “</w:t>
      </w:r>
      <w:r>
        <w:rPr>
          <w:rFonts w:ascii="Times New Roman;Times;Serif" w:hAnsi="Times New Roman;Times;Serif"/>
          <w:b w:val="false"/>
          <w:i w:val="false"/>
          <w:caps w:val="false"/>
          <w:smallCaps w:val="false"/>
          <w:sz w:val="20"/>
          <w:u w:val="single"/>
        </w:rPr>
        <w:t>Exercise Shares</w:t>
      </w:r>
      <w:r>
        <w:rPr>
          <w:rFonts w:ascii="Times New Roman;Times;Serif" w:hAnsi="Times New Roman;Times;Serif"/>
          <w:b w:val="false"/>
          <w:i w:val="false"/>
          <w:caps w:val="false"/>
          <w:smallCaps w:val="false"/>
          <w:sz w:val="20"/>
        </w:rPr>
        <w:t>” and the date on which the last of the Notice of Exercise and Exercise Price are delivered to the Company (as determined in accordance with the notice provisions hereof), the “</w:t>
      </w:r>
      <w:r>
        <w:rPr>
          <w:rFonts w:ascii="Times New Roman;Times;Serif" w:hAnsi="Times New Roman;Times;Serif"/>
          <w:b w:val="false"/>
          <w:i w:val="false"/>
          <w:caps w:val="false"/>
          <w:smallCaps w:val="false"/>
          <w:sz w:val="20"/>
          <w:u w:val="single"/>
        </w:rPr>
        <w:t>Exercise Date</w:t>
      </w:r>
      <w:r>
        <w:rPr>
          <w:rFonts w:ascii="Times New Roman;Times;Serif" w:hAnsi="Times New Roman;Times;Serif"/>
          <w:b w:val="false"/>
          <w:i w:val="false"/>
          <w:caps w:val="false"/>
          <w:smallCaps w:val="false"/>
          <w:sz w:val="20"/>
        </w:rPr>
        <w:t xml:space="preserv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Ordinary Share under this Warrant shall be NIS 0.0000769, subject to adjustment as set forth herein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Closing Price of the Ordinary Shares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Price</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closing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closing price per share of the Ordinary Shares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closing price per Ordinary Share so reported, or (d) in all other cases, the fair market value of an Ordinary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Transfer Agent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the Warrant is being exercised via cashless exercise, and otherwise by physical delivery of a certificate (or evidence of issuance of the Warrant Shares in book entry with the Transfer Agent), registered in the Company’s share register in the name of the Holder or its designee, for the number of Warrant Shares to which the Holder is entitled pursuant to such exercise to the address specified by the Holder in the Notice of Exercise (or, in the case of book entry issuance of Warrant Shares, evidence of such issuance to the email address specified in such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Ordinary Shares as in effect on the date of delivery of the Notice of Exercise. If the Company fails to comply with the foregoing obligations to deliver the Warrant Shares on the Warrant Share Delivery Date, such Holder will be entitled to a payment, as liquidated damages and not as a penalty, in the amount per month equal to one percent (1%) of the purchase price paid by such Holder for the Warrant Share for which this Warrant is then being exercised, from the Warrant Share Delivery Date to the date of the actual delivery of the Warrant Shares, with such amount being pro-rated for any partial month. The maximum amount payable to each Holder for failure to timely deliver the Warrant Shares shall not exceed eight percent (8%) of the exercise price of such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‎Section 2.d)(i) by the Warrant Share Delivery Date, then the Holder will have the right to rescind such exercise by delivering written notice to the Company at any time prior to the delivery of the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and the calculations required under this Section ‎Section 2.e). To the extent that the limitation contained in this Section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the number of Ordinary Shares outstanding immediately after giving effect to the issuance of Ordinary Shares issuable upon exercise of this Warrant. The Holder, upon notice to the Company, may increase or decrease the Beneficial Ownership Limitation provisions of this Section ‎Section 2.e), provided that the Beneficial Ownership Limitation in no event exceeds 19.99% of the number of Ordinary Shares outstanding immediately after giving effect to the issuance of Ordinary Shares upon exercise of this Warrant held by the Holder and the provisions of this Section ‎Section 2.e) shall continue to apply. Any increase in the Beneficial Ownership Limitation will not be effective until the 61st day after such notice is delivered to the Company. The provisions of this Section ‎Section 2.e) shall be construed and implemented in a manner otherwise than in strict conformity with the terms of this Section ‎Section 2.e) to correct this Section ‎Section 2.e) (or any portion hereof) which may be defective or inconsistent with the intended Beneficial Ownership Limitation herein contained or to make changes or supplements necessary or desirable to properly give effect to such limitation. The limitations contained in this Section ‎Section 2.e)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Buy-In. In addition to any other rights available to the Holder, if the Company fails to cause the Transfer Agent to deliver to the Holder or its designee the Exercise Shares in the manner required pursuant to Section ‎Section 2.d)(i) within the Standard Settlement Period following the Exercise Date (other than a failure caused by incorrect or incomplete information provided by the Holder to the Company) and the Holder or the Holder’s broker on its behalf purchases (in an open market transaction or otherwise) Ordinary Shares to deliver in satisfaction of a sale by the Holder of the Exercise Shares which the Holder anticipated receiving upon such exercise (a “Buy-In”) but did not receive within the Standard Settlement Period, then the Company shall, within two (2) Trading Days after the Holder’s request and in the Holder’s sole discretion, promptly honor its obligation to deliver to the Holder or its designee the Exercise Shares pursuant to Section ‎Section 2.d)(i) and pay cash to the Holder in an amount equal to the excess (if any) of the Holder’s total purchase price (including brokerage commissions, if any) for the Ordinary Shares so purchased in the Buy-In (which shall in no event exceed the number of Exercise Shares to which the Holder was entitled), less the product of (A) the number of Ordinary Shares purchased in the Buy-In (which shall in no event exceed the number of Exercise Shares to which the Holder was entitled), times (B) the Closing Price of an Ordinary Share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to Draft</w:t>
      </w:r>
      <w:r>
        <w:rPr>
          <w:rFonts w:ascii="Times New Roman;Times;Serif" w:hAnsi="Times New Roman;Times;Serif"/>
          <w:b w:val="false"/>
          <w:i w:val="false"/>
          <w:caps w:val="false"/>
          <w:smallCaps w:val="false"/>
          <w:sz w:val="20"/>
        </w:rPr>
        <w:t>: To reflect each purchaser’s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tab/>
        <w:t>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reverse share split) outstanding Ordinary Shares into a smaller number of shares, or (iv) issues by reclassification of the Ordinary Shares into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(excluding a merger effected solely to change the Company’s name or domicile),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Ordinary Shares (not including any Ordinary Shares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‎Section 2.e) on the exercise of this Warrant), the number of Ordinary Shares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Ordinary Shares for which this Warrant is exercisable immediately prior to such Fundamental Transaction (without regard to any limitation in Section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the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xml:space="preserve">. All calculations under this Section ‎Section 3 shall be made to the nearest cent or the nearest 1/100th of a share,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in no event shall the Exercise Price be less than the then-applicable par value per Ordinary Share. For purposes of this Section ‎Section 3, the number of Ordinary Shares deemed to be issued and outstanding as of a given date shall be the sum of the number of Ordinary Shares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(i)</w:t>
            </w:r>
          </w:p>
        </w:tc>
        <w:tc>
          <w:tcPr>
            <w:tcW w:w="9996" w:type="dxa"/>
            <w:tcBorders/>
            <w:vAlign w:val="center"/>
          </w:tcPr>
          <w:p>
            <w:pPr>
              <w:pStyle w:val="TableContents"/>
              <w:bidi w:val="0"/>
              <w:spacing w:before="0" w:after="283"/>
              <w:jc w:val="both"/>
              <w:rPr/>
            </w:pPr>
            <w:r>
              <w:rPr>
                <w:u w:val="single"/>
              </w:rPr>
              <w:t>Adjustment to Exercise Price</w:t>
            </w:r>
            <w:r>
              <w:rPr/>
              <w:t>. Whenever the Exercise Price is adjusted pursuant to any provision of this Section ‎Section 3, the Company shall promptly, at its expense, deliver to the Holder by facsimile or email a notice setting forth the Exercise Price after such adjustment and any resulting adjustment to the number of Warrant Shares and setting forth a brief statement of the facts requiring such adjustment.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(ii)</w:t>
            </w:r>
          </w:p>
        </w:tc>
        <w:tc>
          <w:tcPr>
            <w:tcW w:w="9951" w:type="dxa"/>
            <w:tcBorders/>
            <w:vAlign w:val="center"/>
          </w:tcPr>
          <w:p>
            <w:pPr>
              <w:pStyle w:val="TableContents"/>
              <w:bidi w:val="0"/>
              <w:spacing w:before="0" w:after="283"/>
              <w:jc w:val="both"/>
              <w:rPr/>
            </w:pPr>
            <w:r>
              <w:rPr>
                <w:u w:val="single"/>
              </w:rPr>
              <w:t>Notice to Allow Exercise by Holder</w:t>
            </w:r>
            <w:r>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shareholders of the Company shall be required in connection with any reclassification of the Ordinary Shares, any consolidation or merger to which the Company is a party, any sale or transfer of all or substantially all of its assets, or any compulsory share exchange whereby the Ordinary Shares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or furnish such information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Transfer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‎Section 4.d) hereof and to the provisions of Section 4.1 of the Purchase Agreement,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4.1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‎Section 2.a). Without limiting any rights of a Holder to receive Warrant Shares on a “cashless exercise” pursuant to Section 2(c) or to receive cash payments pursuant to Section 2(d)(i)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free from preemptive rights or any other contingent purchase rights of persons other than the Holder.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only with the written consent of the Company and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Warrant may be executed and delivered by facsimile transmission or by e-mail delivery of a “.pdf” or similar format data file, in which case such signature shall create a valid and binding obligation of the party executing (or on whose behalf such signature is executed) with the same force and effect as if such facsimile or “.pdf” or similar format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left"/>
        <w:rPr>
          <w:caps w:val="false"/>
          <w:smallCaps w:val="false"/>
        </w:rPr>
      </w:pPr>
      <w:r>
        <w:rPr>
          <w:caps w:val="false"/>
          <w:smallCaps w:val="false"/>
        </w:rPr>
        <w:t> </w:t>
      </w:r>
    </w:p>
    <w:tbl>
      <w:tblPr>
        <w:tblW w:w="4760" w:type="dxa"/>
        <w:jc w:val="left"/>
        <w:tblInd w:w="0" w:type="dxa"/>
        <w:tblLayout w:type="fixed"/>
        <w:tblCellMar>
          <w:top w:w="0" w:type="dxa"/>
          <w:left w:w="0" w:type="dxa"/>
          <w:bottom w:w="0" w:type="dxa"/>
          <w:right w:w="0" w:type="dxa"/>
        </w:tblCellMar>
      </w:tblPr>
      <w:tblGrid>
        <w:gridCol w:w="4760"/>
      </w:tblGrid>
      <w:tr>
        <w:trPr/>
        <w:tc>
          <w:tcPr>
            <w:tcW w:w="4760" w:type="dxa"/>
            <w:tcBorders/>
            <w:vAlign w:val="center"/>
          </w:tcPr>
          <w:p>
            <w:pPr>
              <w:pStyle w:val="TableContents"/>
              <w:bidi w:val="0"/>
              <w:spacing w:before="0" w:after="283"/>
              <w:jc w:val="left"/>
              <w:rPr>
                <w:sz w:val="20"/>
              </w:rPr>
            </w:pPr>
            <w:r>
              <w:rPr>
                <w:b/>
                <w:sz w:val="20"/>
              </w:rPr>
              <w:t>ENTERA BIO LTD</w:t>
            </w:r>
            <w:r>
              <w:rPr>
                <w:sz w:val="20"/>
              </w:rPr>
              <w:t>.</w:t>
            </w:r>
          </w:p>
        </w:tc>
      </w:tr>
      <w:tr>
        <w:trPr/>
        <w:tc>
          <w:tcPr>
            <w:tcW w:w="476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ENTERA BIO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hanging="0"/>
        <w:jc w:val="both"/>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2480"/>
        <w:gridCol w:w="75"/>
      </w:tblGrid>
      <w:tr>
        <w:trPr/>
        <w:tc>
          <w:tcPr>
            <w:tcW w:w="2480" w:type="dxa"/>
            <w:tcBorders/>
            <w:vAlign w:val="center"/>
          </w:tcPr>
          <w:p>
            <w:pPr>
              <w:pStyle w:val="TableContents"/>
              <w:bidi w:val="0"/>
              <w:spacing w:before="0" w:after="283"/>
              <w:jc w:val="left"/>
              <w:rPr/>
            </w:pPr>
            <w:r>
              <w:rPr/>
              <w:t>Name of Investing Entity: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5165"/>
        <w:gridCol w:w="75"/>
      </w:tblGrid>
      <w:tr>
        <w:trPr/>
        <w:tc>
          <w:tcPr>
            <w:tcW w:w="5165" w:type="dxa"/>
            <w:tcBorders/>
            <w:vAlign w:val="center"/>
          </w:tcPr>
          <w:p>
            <w:pPr>
              <w:pStyle w:val="TableContents"/>
              <w:bidi w:val="0"/>
              <w:spacing w:before="0" w:after="283"/>
              <w:jc w:val="left"/>
              <w:rPr/>
            </w:pPr>
            <w:r>
              <w:rPr/>
              <w:t>Signature of Authorized Signatory of Investing Entity: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3020"/>
        <w:gridCol w:w="75"/>
      </w:tblGrid>
      <w:tr>
        <w:trPr/>
        <w:tc>
          <w:tcPr>
            <w:tcW w:w="3020" w:type="dxa"/>
            <w:tcBorders/>
            <w:vAlign w:val="center"/>
          </w:tcPr>
          <w:p>
            <w:pPr>
              <w:pStyle w:val="TableContents"/>
              <w:bidi w:val="0"/>
              <w:spacing w:before="0" w:after="283"/>
              <w:jc w:val="left"/>
              <w:rPr/>
            </w:pPr>
            <w:r>
              <w:rPr/>
              <w:t>Name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885"/>
        <w:gridCol w:w="75"/>
      </w:tblGrid>
      <w:tr>
        <w:trPr/>
        <w:tc>
          <w:tcPr>
            <w:tcW w:w="2885" w:type="dxa"/>
            <w:tcBorders/>
            <w:vAlign w:val="center"/>
          </w:tcPr>
          <w:p>
            <w:pPr>
              <w:pStyle w:val="TableContents"/>
              <w:bidi w:val="0"/>
              <w:spacing w:before="0" w:after="283"/>
              <w:jc w:val="left"/>
              <w:rPr/>
            </w:pPr>
            <w:r>
              <w:rPr/>
              <w:t>Title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545"/>
        <w:gridCol w:w="75"/>
      </w:tblGrid>
      <w:tr>
        <w:trPr/>
        <w:tc>
          <w:tcPr>
            <w:tcW w:w="545" w:type="dxa"/>
            <w:tcBorders/>
            <w:vAlign w:val="center"/>
          </w:tcPr>
          <w:p>
            <w:pPr>
              <w:pStyle w:val="TableContents"/>
              <w:bidi w:val="0"/>
              <w:spacing w:before="0" w:after="283"/>
              <w:jc w:val="left"/>
              <w:rPr/>
            </w:pPr>
            <w:r>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4025"/>
        <w:gridCol w:w="4025"/>
      </w:tblGrid>
      <w:tr>
        <w:trPr/>
        <w:tc>
          <w:tcPr>
            <w:tcW w:w="4025" w:type="dxa"/>
            <w:tcBorders/>
            <w:vAlign w:val="center"/>
          </w:tcPr>
          <w:p>
            <w:pPr>
              <w:pStyle w:val="TableContents"/>
              <w:bidi w:val="0"/>
              <w:spacing w:before="0" w:after="283"/>
              <w:jc w:val="left"/>
              <w:rPr>
                <w:sz w:val="20"/>
              </w:rPr>
            </w:pPr>
            <w:r>
              <w:rPr>
                <w:sz w:val="20"/>
              </w:rPr>
              <w:t>Name:</w:t>
            </w:r>
          </w:p>
        </w:tc>
        <w:tc>
          <w:tcPr>
            <w:tcW w:w="4025" w:type="dxa"/>
            <w:tcBorders/>
            <w:vAlign w:val="center"/>
          </w:tcPr>
          <w:p>
            <w:pPr>
              <w:pStyle w:val="TableContents"/>
              <w:bidi w:val="0"/>
              <w:spacing w:before="0" w:after="283"/>
              <w:jc w:val="left"/>
              <w:rPr>
                <w:sz w:val="20"/>
              </w:rPr>
            </w:pPr>
            <w:r>
              <w:rPr>
                <w:sz w:val="20"/>
              </w:rPr>
              <w:t>______________________________________</w:t>
            </w:r>
          </w:p>
        </w:tc>
      </w:tr>
      <w:tr>
        <w:trPr/>
        <w:tc>
          <w:tcPr>
            <w:tcW w:w="402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(Please Print)</w:t>
            </w:r>
          </w:p>
        </w:tc>
      </w:tr>
      <w:tr>
        <w:trPr/>
        <w:tc>
          <w:tcPr>
            <w:tcW w:w="4025" w:type="dxa"/>
            <w:tcBorders/>
            <w:vAlign w:val="center"/>
          </w:tcPr>
          <w:p>
            <w:pPr>
              <w:pStyle w:val="TableContents"/>
              <w:bidi w:val="0"/>
              <w:spacing w:before="0" w:after="283"/>
              <w:jc w:val="left"/>
              <w:rPr>
                <w:sz w:val="20"/>
              </w:rPr>
            </w:pPr>
            <w:r>
              <w:rPr>
                <w:sz w:val="20"/>
              </w:rPr>
              <w:t>Address:</w:t>
            </w:r>
          </w:p>
        </w:tc>
        <w:tc>
          <w:tcPr>
            <w:tcW w:w="4025" w:type="dxa"/>
            <w:tcBorders/>
            <w:vAlign w:val="center"/>
          </w:tcPr>
          <w:p>
            <w:pPr>
              <w:pStyle w:val="TableContents"/>
              <w:bidi w:val="0"/>
              <w:spacing w:before="0" w:after="283"/>
              <w:jc w:val="left"/>
              <w:rPr>
                <w:sz w:val="20"/>
              </w:rPr>
            </w:pPr>
            <w:r>
              <w:rPr>
                <w:sz w:val="20"/>
              </w:rPr>
              <w:t>______________________________________</w:t>
            </w:r>
          </w:p>
        </w:tc>
      </w:tr>
      <w:tr>
        <w:trPr/>
        <w:tc>
          <w:tcPr>
            <w:tcW w:w="40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40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402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sz w:val="20"/>
              </w:rPr>
            </w:pPr>
            <w:r>
              <w:rPr>
                <w:sz w:val="20"/>
              </w:rPr>
              <w:t>Dated: _______________ __, ______</w:t>
            </w:r>
          </w:p>
        </w:tc>
        <w:tc>
          <w:tcPr>
            <w:tcW w:w="402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jc w:val="left"/>
              <w:rPr>
                <w:sz w:val="20"/>
              </w:rPr>
            </w:pPr>
            <w:r>
              <w:rPr>
                <w:sz w:val="20"/>
              </w:rPr>
              <w:t>Holder’s Signature:</w:t>
            </w:r>
          </w:p>
          <w:p>
            <w:pPr>
              <w:pStyle w:val="TableContents"/>
              <w:bidi w:val="0"/>
              <w:spacing w:before="0" w:after="283"/>
              <w:jc w:val="left"/>
              <w:rPr>
                <w:sz w:val="20"/>
              </w:rPr>
            </w:pPr>
            <w:r>
              <w:rPr>
                <w:sz w:val="20"/>
              </w:rPr>
              <w:t>______________________________________</w:t>
            </w:r>
          </w:p>
        </w:tc>
        <w:tc>
          <w:tcPr>
            <w:tcW w:w="402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jc w:val="left"/>
              <w:rPr>
                <w:sz w:val="20"/>
              </w:rPr>
            </w:pPr>
            <w:r>
              <w:rPr>
                <w:sz w:val="20"/>
              </w:rPr>
              <w:t>Holder’s Adress:</w:t>
            </w:r>
          </w:p>
          <w:p>
            <w:pPr>
              <w:pStyle w:val="TableContents"/>
              <w:bidi w:val="0"/>
              <w:spacing w:before="0" w:after="283"/>
              <w:jc w:val="left"/>
              <w:rPr>
                <w:sz w:val="20"/>
              </w:rPr>
            </w:pPr>
            <w:r>
              <w:rPr>
                <w:sz w:val="20"/>
              </w:rPr>
              <w:t>______________________________________</w:t>
            </w:r>
          </w:p>
        </w:tc>
        <w:tc>
          <w:tcPr>
            <w:tcW w:w="402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60"/>
        <w:ind w:left="0" w:right="0" w:hanging="0"/>
        <w:jc w:val="left"/>
        <w:rPr>
          <w:bdr w:val="single" w:sz="16" w:space="1" w:color="000000"/>
        </w:rPr>
      </w:pPr>
      <w:bookmarkStart w:id="27" w:name="exhibit_10-3.htm"/>
      <w:bookmarkStart w:id="28" w:name="ksexhibit_103"/>
      <w:bookmarkEnd w:id="27"/>
      <w:bookmarkEnd w:id="28"/>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10.3</w:t>
      </w:r>
    </w:p>
    <w:p>
      <w:pPr>
        <w:pStyle w:val="TextBody"/>
        <w:bidi w:val="0"/>
        <w:spacing w:before="0" w:after="0"/>
        <w:ind w:left="240" w:right="240" w:hanging="0"/>
        <w:jc w:val="center"/>
        <w:rPr>
          <w:caps w:val="false"/>
          <w:smallCaps w:val="false"/>
        </w:rPr>
      </w:pPr>
      <w:r>
        <w:rPr>
          <w:caps w:val="false"/>
          <w:smallCaps w:val="false"/>
        </w:rPr>
        <w:t> </w:t>
      </w:r>
    </w:p>
    <w:p>
      <w:pPr>
        <w:pStyle w:val="TextBody"/>
        <w:bidi w:val="0"/>
        <w:spacing w:before="0" w:after="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240" w:right="24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July 28, 2026, between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of the purchasers signatory hereto (each such purchaser,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pursuant to the Securities Purchase Agreement, dated as of July 26, 2026, between the Company and each Purchaser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Purchaser hereby agrees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otherwise defined herein that are defined in the Purchase Agreement shall have the respective meanings given to such terms in the Purchase Agreement. As used in this Agreement, the following terms shall have the following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shall have the meaning set forth in Section ‎6(b).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Date</w:t>
      </w:r>
      <w:r>
        <w:rPr>
          <w:rFonts w:ascii="Times New Roman;Times;Serif" w:hAnsi="Times New Roman;Times;Serif"/>
          <w:b w:val="false"/>
          <w:i w:val="false"/>
          <w:caps w:val="false"/>
          <w:smallCaps w:val="false"/>
          <w:sz w:val="20"/>
        </w:rPr>
        <w:t xml:space="preserve">” means, with respect to the Initial Registration Statement required to be filed hereunder, the 30th calendar day following the Filing Date (or, in the event of a “full review” by the Commission, the 45th calendar day following the Filing Date) and with respect to any additional Registration Statements which may be required pursuant to Section ‎2(d) or Section ‎3(c), the 30th calendar day following the date on which an additional Registration Statement is required to be filed hereunder (or, in the event of a “full review” by the Commission, the 45th calendar day following the date such additional Registration Statement is required to be filed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shall have the meaning set forth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holder or holders, as the case may be, from time to time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as of any date of determination, (a) all Shares, (b) all Warrant Shares then issued and issuable upon exercise of the Warrants (assuming on such date the Warrants are exercised in full without regard to any exercise limitations therein), and (c) any securities issued or then issuable upon any share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required to be filed hereunder pursuant to Section ‎2(a) and any additional registration statements contemplated by Section ‎2(d) or Section ‎3(c) (in each case with respect to the Registrable Securities),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Shareholder Questionnaire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Guidance</w:t>
      </w:r>
      <w:r>
        <w:rPr>
          <w:rFonts w:ascii="Times New Roman;Times;Serif" w:hAnsi="Times New Roman;Times;Serif"/>
          <w:b w:val="false"/>
          <w:i w:val="false"/>
          <w:caps w:val="false"/>
          <w:smallCaps w:val="false"/>
          <w:sz w:val="20"/>
        </w:rPr>
        <w:t>” means (i) any publicly-available written or oral guidance of the Commission staff, or any comments, requirements or requests of the Commission staff and (ii)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reasonably practicable and in any event no later than 30 calendar days after the Closing (such date, the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the Company shall prepare and file with the Commission a Registration Statement covering the resale of all of the Registrable Securities that are not then registered on an effective Registration Statement for an offering to be made on a continuous basis pursuant to Rule 415 (the “</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Each Registration Statement filed hereunder shall be on Form S-3 and shall contain (unless otherwise directed by at least 85% in interest of the Holders)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val="false"/>
          <w:caps w:val="false"/>
          <w:smallCaps w:val="false"/>
          <w:sz w:val="20"/>
          <w:u w:val="single"/>
        </w:rPr>
        <w:t>Selling Shareholder</w:t>
      </w:r>
      <w:r>
        <w:rPr>
          <w:rFonts w:ascii="Times New Roman;Times;Serif" w:hAnsi="Times New Roman;Times;Serif"/>
          <w:b w:val="false"/>
          <w:i w:val="false"/>
          <w:caps w:val="false"/>
          <w:smallCaps w:val="false"/>
          <w:sz w:val="20"/>
        </w:rPr>
        <w:t xml:space="preserve">” section substantially in the form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Holder shall be required to be named as an “underwriter” without such Holder’s express prior written consent. The Company shall (a) use commercially reasonable efforts to address in each such document prior to being so filed with the Commission such comments as the Holders or a single counsel thereto reasonably proposes, and (b) not file any Registration Statement or Prospectus or any amendment or supplement thereto containing information regarding a Holder to which such Holder reasonably objects, unless such information is required to comply with any applicable law or regulation. The Holder shall furnish all information reasonably requested by the Company and as shall otherwise be required in connection with any registration referred to in this Agreement.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this Agreement, the Company shall use its reasonable best efforts to cause each Registration Statement filed under this Agreement (including, without limitation, under Section ‎3(c)) to be declared effective under the Securities Act as promptly as possible after the Filing Date or the New Registration Filing Date, as applicable,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The Company shall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 the Initial Registration Statement has not been filed by the Filing Date, (ii) the Initial Registration Statement has not been declared effective by the applicable Effectiveness Date, (iii) the New Registration Statement has not been filed by the New Registration Filing Date, (iv) the New Registration Statement has not been declared effective by the applicable Effectiveness Date or (v) after any Registration Statement has been declared effective by the Commission, sales cannot be made pursuant to such Registration Statement for any reason (including without limitation by reason of a stop order, or the Company’s failure to update such Registration Statement) (a “</w:t>
      </w:r>
      <w:r>
        <w:rPr>
          <w:rFonts w:ascii="Times New Roman;Times;Serif" w:hAnsi="Times New Roman;Times;Serif"/>
          <w:b w:val="false"/>
          <w:i w:val="false"/>
          <w:caps w:val="false"/>
          <w:smallCaps w:val="false"/>
          <w:sz w:val="20"/>
          <w:u w:val="single"/>
        </w:rPr>
        <w:t>Maintenance Failure</w:t>
      </w:r>
      <w:r>
        <w:rPr>
          <w:rFonts w:ascii="Times New Roman;Times;Serif" w:hAnsi="Times New Roman;Times;Serif"/>
          <w:b w:val="false"/>
          <w:i w:val="false"/>
          <w:caps w:val="false"/>
          <w:smallCaps w:val="false"/>
          <w:sz w:val="20"/>
        </w:rPr>
        <w:t>”), then the Company will make pro rata payments to each Holder then holding Registrable Securities, as liquidated damages and not as a penalty, in an amount equal to 1.0% of the aggregate amount paid pursuant to the Purchase Agreement by such Holder for such Registrable Securities then held by such Holder for each 30-day period or pro rata for any portion thereof during which the failure continues (the “</w:t>
      </w:r>
      <w:r>
        <w:rPr>
          <w:rFonts w:ascii="Times New Roman;Times;Serif" w:hAnsi="Times New Roman;Times;Serif"/>
          <w:b w:val="false"/>
          <w:i w:val="false"/>
          <w:caps w:val="false"/>
          <w:smallCaps w:val="false"/>
          <w:sz w:val="20"/>
          <w:u w:val="single"/>
        </w:rPr>
        <w:t>Blackout Period</w:t>
      </w:r>
      <w:r>
        <w:rPr>
          <w:rFonts w:ascii="Times New Roman;Times;Serif" w:hAnsi="Times New Roman;Times;Serif"/>
          <w:b w:val="false"/>
          <w:i w:val="false"/>
          <w:caps w:val="false"/>
          <w:smallCaps w:val="false"/>
          <w:sz w:val="20"/>
        </w:rPr>
        <w:t>”); provided that no liquidated damages shall be payable if and to the extent that, despite reasonable best efforts by the Company to avoid a breach hereof, the Company’s failure was caused by a government shutdown resulting in the Commission’s inability to review or declare effective the Registration Statement. Such payments shall constitute the Purchasers’ exclusive monetary remedy for such events, but shall not affect the right of the Purchasers to seek injunctive relief. The amounts payable as liquidated damages pursuant to this paragraph shall be paid in cash no later than five Business Days after each such 30-day period following the commencement of the Blackout Period until the termination of the Blackout Period Blackout Period (the “</w:t>
      </w:r>
      <w:r>
        <w:rPr>
          <w:rFonts w:ascii="Times New Roman;Times;Serif" w:hAnsi="Times New Roman;Times;Serif"/>
          <w:b w:val="false"/>
          <w:i w:val="false"/>
          <w:caps w:val="false"/>
          <w:smallCaps w:val="false"/>
          <w:sz w:val="20"/>
          <w:u w:val="single"/>
        </w:rPr>
        <w:t>Blackout Period Payment Date</w:t>
      </w:r>
      <w:r>
        <w:rPr>
          <w:rFonts w:ascii="Times New Roman;Times;Serif" w:hAnsi="Times New Roman;Times;Serif"/>
          <w:b w:val="false"/>
          <w:i w:val="false"/>
          <w:caps w:val="false"/>
          <w:smallCaps w:val="false"/>
          <w:sz w:val="20"/>
        </w:rPr>
        <w:t>”). Interest shall accrue at the rate of 1.0% per month on any such liquidated damages payments that shall not be paid by the Blackout Period Payment Date until such amount is paid in full. Notwithstanding anything to the contrary contained herein, in no event shall the aggregate amount of liquidated damages (or interest thereon) paid under this Agreement to any Holder exceed, in the aggregate, 8.0% of the aggregate purchase price of the Securities purchased by such Purchaser under the Purchase Agreement. Notwithstanding anything in this Section 2(c) to the contrary, during any period that the Company is unable to meet its obligations hereunder with respect to the registration of the Registrable Securities because any Holder fails to furnish information required to be provided pursuant to Section 3(a) within the requested time, any liquidated damages that would otherwise accrue as to such Holder shall not accrue or otherwise become payable to such Holder with respect to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or a new registration statement (together with any prospectuses or prospectus supplements thereunder, a “</w:t>
      </w:r>
      <w:r>
        <w:rPr>
          <w:rFonts w:ascii="Times New Roman;Times;Serif" w:hAnsi="Times New Roman;Times;Serif"/>
          <w:b w:val="false"/>
          <w:i w:val="false"/>
          <w:caps w:val="false"/>
          <w:smallCaps w:val="false"/>
          <w:sz w:val="20"/>
          <w:u w:val="single"/>
        </w:rPr>
        <w:t>New Registration Statement</w:t>
      </w:r>
      <w:r>
        <w:rPr>
          <w:rFonts w:ascii="Times New Roman;Times;Serif" w:hAnsi="Times New Roman;Times;Serif"/>
          <w:b w:val="false"/>
          <w:i w:val="false"/>
          <w:caps w:val="false"/>
          <w:smallCaps w:val="false"/>
          <w:sz w:val="20"/>
        </w:rPr>
        <w:t>”) as required by the Commission, covering the maximum number of Registrable Securities permitted to be registered by the Commission, on Form S-3, subject to the provisions of Section ‎2(f), as soon as reasonably practicable but in any event not later than ten Business Days after the necessity therefor arises (the “</w:t>
      </w:r>
      <w:r>
        <w:rPr>
          <w:rFonts w:ascii="Times New Roman;Times;Serif" w:hAnsi="Times New Roman;Times;Serif"/>
          <w:b w:val="false"/>
          <w:i w:val="false"/>
          <w:caps w:val="false"/>
          <w:smallCaps w:val="false"/>
          <w:sz w:val="20"/>
          <w:u w:val="single"/>
        </w:rPr>
        <w:t>New Registration Filing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the Company shall be obligated to use reasonable best efforts to advocate with the Commission for the registration of all of the Registrable Securities in accordance with the SEC Guidance, including without limitation, Compliance and Disclosure Interpretation 612.09. The Holders shall have the right to select one legal counsel retained at the Holders’ sole expense, which counsel shall be selected by the Holders holding a majority of the Registrable Securities, to review and oversee any registration or matters pursuant to this Section ‎2(d), including participation in any meetings or discussions with the Commission regarding the Commission’s position and to reasonably comment on any written submission made to the Commission with respect thereto. The Company shall use its reasonable best efforts to have such amendments become effective as soon as reasonably practicable following the filing thereof but no later than the applicable Effectiveness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commercially reasonable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subject to any written contractual registration rights of other shareholders of the Company as of the date hereof,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First, the Company shall reduce or eliminate any securities to be included other than Registrable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Second, the Company shall reduce Registrable Securities represented by Warrant Shares (applied, in the case that some Warrant Shares may be registered, to the Holders on a pro rata basis based on the total number of unregistered Warrant Shares held by such Holders);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Third, the Company shall reduce Registrable Securities represented by Shares (applied, in the case that some Shares may be registered, to the Holders on a pro rata basis based on the total number of unregistered Shares held by such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cutback hereunder, the Company shall give each Holder at least five (5) Trading Days prior written notice along with the calculations as to such Holder’s allotment of Registrable Securities to be registered on such Registration Statement.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S-3 to register for resale those Registrable Securities that were not registered for resale on the Initial Registration Statement,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Form S-3 is not available for the registration of the resale of Registrable Securities hereunder, then the Company shall not have any obligation to register the resale of the Registrable Securities, whether on Form S-1 or any other form; provided that the Company shall undertake to register the Registrable Securities on Form S-3 as soon as such form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to the contrary contained herein, in no event shall the Company be permitted to name any Holder or affiliate of a Holder as any Underwriter without the prior written consent of such Holder.</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 less than three (3) Trading Days prior to the filing of each Registration Statement and not less than one (1) Trading Day prior to the filing of any related Prospectus or any amendment or supplement thereto (excluding any Annual Report on Form 10-K, Quarterly Report on Form 10-Q and Current Report on Form 8-K, including any amendment thereto and any similar or successor reports)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three (3)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Selling Shareholder Questionnaire</w:t>
      </w:r>
      <w:r>
        <w:rPr>
          <w:rFonts w:ascii="Times New Roman;Times;Serif" w:hAnsi="Times New Roman;Times;Serif"/>
          <w:b w:val="false"/>
          <w:i w:val="false"/>
          <w:caps w:val="false"/>
          <w:smallCaps w:val="false"/>
          <w:sz w:val="20"/>
        </w:rPr>
        <w:t>”) on a date that is not less than two (2) Trading Days prior to the Filing Date or by the end of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date on which such Holder receives draft materials in accordance with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during the Effectiveness Period, the number of Registrable Securities at any time exceeds 100% of the number of Ordinary Shares then registered in a Registration Statement, then the Company shall file as soon as reasonably practicable, but in any case prior to the applicable New Registration Filing Date, an additional Registration Statement covering the resale by the Holders of not less than the number of such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any resale of Registrable Securities by a Holder, use its reasonable best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requested by a Holder, cooperate with such Holder to facilitate the timely preparation and delivery of certificates (or evidence of book entry transfer) representing Registrable Securities to be delivered to a transferee pursuant to a Registration Statement, which certificates (or evidence of book entry transfer) shall be free, to the extent permitted by the Purchase Agreement, of all restrictive legends, and to enable such Registrable Securities to be in such denominations and registered in such names as any such Holder may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occurrence of any event contemplated by Section ‎3(d), as promptly as reasonably possible under the circumstances, taking into account the Company’s good faith assessment of any adverse consequences to the Company and its shareholders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as the case may be,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for a period not to exceed 60 calendar days (which need not be consecutive days) in any 12-month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then eligible to use Form S-3, the Company shall use its commercially reasonable efforts to maintain eligibility for use of Form S-3 (or any successor form thereto) for the registration of the resale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may require each selling Holder to furnish to the Company a certified statement as to the number of Ordinary Shares beneficially owned by such Holder and, if required by the Commission, the natural persons thereof that have voting and dispositive control over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Ordinary Shares are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discounts or broker or similar commissions or fees of any Holder or any legal fees or other costs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Ordinary Shares)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shareholders,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‎3(d)(iii)-(iv),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‎6(b).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Shareholder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and documented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‎5) shall be paid to the Indemnified Party, as incurred, within ten (10)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and documented attorneys’ or other fees or expenses incurred by such party in connection with any Proceeding to the extent such party would have been indemnified for such fees or expenses if the indemnification provided for in this Section ‎5 was available to such party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‎5 are in addition to any liability that the Indemnifying Parties may have to the Indemnified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by the Company that the use of the applicable Prospectus (as it may have been supplemented or amended) may be resumed. The Company will use its reasonable best efforts to ensure that the use of the Prospectus may be resumed as promptly as is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 provided, for the avoidance of doubt, no assignment by any party hereto of such party’s rights, duties and obligations hereunder shall be binding upon or obligate Company unless and until the Company shall have received (i) written notice of such assignment as provided in this Section ‎6(e) and (ii) the written agreement of the assignee,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to be bound by the terms and provisions of this Agreement. Any transfer or assignment made other than as provided in this Section ‎6(e) shall be null and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that would have the effect of impairing the rights granted to the Holders in this Agreement or otherwise conflicts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determined in accordance with the provisions of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Notwithstanding anything that may be expressed or implied in this Agreement, the Company covenants, agrees and acknowledges that no recourse under this Agreement or the Purchase Agreement shall be had against any current or future director, officer, employee, stockholder, general or limited partner or member of the Purchasers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Purchasers or of any affiliates or assignees thereof, as such for any obligation of the Purchasers under this Agreement or any documents or instruments delivered in connection with this Agreement for any claim based on, in respect of or by reason of such obligations or their creation.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val="false"/>
          <w:i w:val="false"/>
          <w:caps w:val="false"/>
          <w:smallCaps w:val="false"/>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Actions to be Taken on Non-Business Days. If any action required to be taken hereunder falls on a date that is not a Business Day, then such action may be taken on the next succeeding Business Day without there having been a breach of the provision of this Agreement requiring the taking of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2150"/>
      </w:tblGrid>
      <w:tr>
        <w:trPr/>
        <w:tc>
          <w:tcPr>
            <w:tcW w:w="2150" w:type="dxa"/>
            <w:tcBorders/>
            <w:vAlign w:val="center"/>
          </w:tcPr>
          <w:p>
            <w:pPr>
              <w:pStyle w:val="TableContents"/>
              <w:bidi w:val="0"/>
              <w:spacing w:before="0" w:after="283"/>
              <w:jc w:val="left"/>
              <w:rPr>
                <w:sz w:val="20"/>
              </w:rPr>
            </w:pPr>
            <w:r>
              <w:rPr>
                <w:b/>
                <w:sz w:val="20"/>
              </w:rPr>
              <w:t>ENTERA BIO LTD</w:t>
            </w:r>
            <w:r>
              <w:rPr>
                <w:sz w:val="20"/>
              </w:rPr>
              <w:t>.</w:t>
            </w:r>
          </w:p>
        </w:tc>
      </w:tr>
      <w:tr>
        <w:trPr/>
        <w:tc>
          <w:tcPr>
            <w:tcW w:w="215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Miranda Toledano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Miranda Toledano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HOLDERS FOLLOWS]</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HOLDERS TO RRA]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Holder</w:t>
      </w:r>
      <w:r>
        <w:rPr>
          <w:rFonts w:ascii="Times New Roman;Times;Serif" w:hAnsi="Times New Roman;Times;Serif"/>
          <w:b w:val="false"/>
          <w:i w:val="false"/>
          <w:caps w:val="false"/>
          <w:smallCaps w:val="false"/>
          <w:sz w:val="20"/>
        </w:rPr>
        <w: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AGREEMENT JOINDER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Registration Rights Agreement Joinder (this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pursuant to the Registration Rights Agreement dated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(as the same may hereafter be amended,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among Entera Bio Ltd., a company organized under the laws of the State of Israel, and the other persons named as parties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Joinder,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____ day of _____________, 20__</w:t>
      </w:r>
    </w:p>
    <w:p>
      <w:pPr>
        <w:pStyle w:val="TextBody"/>
        <w:bidi w:val="0"/>
        <w:spacing w:before="0" w:after="0"/>
        <w:ind w:left="0" w:right="0" w:hanging="0"/>
        <w:jc w:val="both"/>
        <w:rPr>
          <w:caps w:val="false"/>
          <w:smallCaps w:val="false"/>
        </w:rPr>
      </w:pPr>
      <w:r>
        <w:rPr>
          <w:caps w:val="false"/>
          <w:smallCaps w:val="false"/>
        </w:rPr>
        <w:t> </w:t>
      </w:r>
    </w:p>
    <w:tbl>
      <w:tblPr>
        <w:tblW w:w="3305" w:type="dxa"/>
        <w:jc w:val="left"/>
        <w:tblInd w:w="0" w:type="dxa"/>
        <w:tblLayout w:type="fixed"/>
        <w:tblCellMar>
          <w:top w:w="0" w:type="dxa"/>
          <w:left w:w="0" w:type="dxa"/>
          <w:bottom w:w="0" w:type="dxa"/>
          <w:right w:w="0" w:type="dxa"/>
        </w:tblCellMar>
      </w:tblPr>
      <w:tblGrid>
        <w:gridCol w:w="3170"/>
        <w:gridCol w:w="60"/>
        <w:gridCol w:w="75"/>
      </w:tblGrid>
      <w:tr>
        <w:trPr/>
        <w:tc>
          <w:tcPr>
            <w:tcW w:w="3305" w:type="dxa"/>
            <w:gridSpan w:val="3"/>
            <w:tcBorders/>
            <w:vAlign w:val="center"/>
          </w:tcPr>
          <w:p>
            <w:pPr>
              <w:pStyle w:val="TableContents"/>
              <w:bidi w:val="0"/>
              <w:spacing w:before="0" w:after="283"/>
              <w:jc w:val="left"/>
              <w:rPr>
                <w:sz w:val="20"/>
              </w:rPr>
            </w:pPr>
            <w:r>
              <w:rPr>
                <w:sz w:val="20"/>
              </w:rPr>
              <w:t>HOLDER:</w:t>
            </w:r>
          </w:p>
        </w:tc>
      </w:tr>
      <w:tr>
        <w:trPr/>
        <w:tc>
          <w:tcPr>
            <w:tcW w:w="3305" w:type="dxa"/>
            <w:gridSpan w:val="3"/>
            <w:tcBorders/>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w:t>
            </w:r>
          </w:p>
        </w:tc>
      </w:tr>
      <w:tr>
        <w:trPr/>
        <w:tc>
          <w:tcPr>
            <w:tcW w:w="3170" w:type="dxa"/>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20"/>
              </w:rPr>
            </w:pPr>
            <w:r>
              <w:rPr>
                <w:sz w:val="20"/>
              </w:rPr>
              <w:t>By:___________________________</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Its:</w:t>
            </w:r>
          </w:p>
        </w:tc>
      </w:tr>
      <w:tr>
        <w:trPr/>
        <w:tc>
          <w:tcPr>
            <w:tcW w:w="3305" w:type="dxa"/>
            <w:gridSpan w:val="3"/>
            <w:tcBorders/>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Address for Notices:</w:t>
            </w:r>
          </w:p>
        </w:tc>
      </w:tr>
      <w:tr>
        <w:trPr/>
        <w:tc>
          <w:tcPr>
            <w:tcW w:w="3305" w:type="dxa"/>
            <w:gridSpan w:val="3"/>
            <w:tcBorders/>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w:t>
            </w:r>
          </w:p>
        </w:tc>
      </w:tr>
      <w:tr>
        <w:trPr/>
        <w:tc>
          <w:tcPr>
            <w:tcW w:w="3305" w:type="dxa"/>
            <w:gridSpan w:val="3"/>
            <w:tcBorders/>
            <w:vAlign w:val="center"/>
          </w:tcPr>
          <w:p>
            <w:pPr>
              <w:pStyle w:val="TableContents"/>
              <w:bidi w:val="0"/>
              <w:spacing w:before="0" w:after="283"/>
              <w:jc w:val="left"/>
              <w:rPr>
                <w:sz w:val="20"/>
              </w:rPr>
            </w:pPr>
            <w:r>
              <w:rPr>
                <w:sz w:val="20"/>
              </w:rPr>
              <w:t>[●]</w:t>
            </w:r>
          </w:p>
        </w:tc>
      </w:tr>
      <w:tr>
        <w:trPr/>
        <w:tc>
          <w:tcPr>
            <w:tcW w:w="3305" w:type="dxa"/>
            <w:gridSpan w:val="3"/>
            <w:tcBorders/>
            <w:vAlign w:val="center"/>
          </w:tcPr>
          <w:p>
            <w:pPr>
              <w:pStyle w:val="TableContents"/>
              <w:bidi w:val="0"/>
              <w:spacing w:before="0" w:after="283"/>
              <w:jc w:val="left"/>
              <w:rPr>
                <w:sz w:val="20"/>
              </w:rPr>
            </w:pPr>
            <w:r>
              <w:rPr>
                <w:sz w:val="20"/>
              </w:rPr>
              <w:t>[●]</w:t>
            </w:r>
          </w:p>
        </w:tc>
      </w:tr>
      <w:tr>
        <w:trPr/>
        <w:tc>
          <w:tcPr>
            <w:tcW w:w="3305" w:type="dxa"/>
            <w:gridSpan w:val="3"/>
            <w:tcBorders/>
            <w:vAlign w:val="center"/>
          </w:tcPr>
          <w:p>
            <w:pPr>
              <w:pStyle w:val="TableContents"/>
              <w:bidi w:val="0"/>
              <w:spacing w:before="0" w:after="283"/>
              <w:jc w:val="left"/>
              <w:rPr>
                <w:sz w:val="20"/>
              </w:rPr>
            </w:pPr>
            <w:r>
              <w:rPr>
                <w:sz w:val="20"/>
              </w:rPr>
              <w:t>[●]</w:t>
            </w:r>
          </w:p>
        </w:tc>
      </w:tr>
      <w:tr>
        <w:trPr/>
        <w:tc>
          <w:tcPr>
            <w:tcW w:w="3305" w:type="dxa"/>
            <w:gridSpan w:val="3"/>
            <w:tcBorders/>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Agreed and Accepted as of</w:t>
            </w:r>
          </w:p>
        </w:tc>
      </w:tr>
      <w:tr>
        <w:trPr/>
        <w:tc>
          <w:tcPr>
            <w:tcW w:w="3305" w:type="dxa"/>
            <w:gridSpan w:val="3"/>
            <w:tcBorders/>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w:t>
            </w:r>
          </w:p>
        </w:tc>
      </w:tr>
      <w:tr>
        <w:trPr/>
        <w:tc>
          <w:tcPr>
            <w:tcW w:w="3170" w:type="dxa"/>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sz w:val="20"/>
              </w:rPr>
            </w:pPr>
            <w:r>
              <w:rPr>
                <w:sz w:val="20"/>
              </w:rPr>
              <w:t>By:___________________________</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05" w:type="dxa"/>
            <w:gridSpan w:val="3"/>
            <w:tcBorders/>
            <w:vAlign w:val="center"/>
          </w:tcPr>
          <w:p>
            <w:pPr>
              <w:pStyle w:val="TableContents"/>
              <w:bidi w:val="0"/>
              <w:spacing w:before="0" w:after="283"/>
              <w:jc w:val="left"/>
              <w:rPr>
                <w:sz w:val="20"/>
              </w:rPr>
            </w:pPr>
            <w:r>
              <w:rPr>
                <w:sz w:val="20"/>
              </w:rPr>
              <w:t>Its:</w:t>
            </w:r>
          </w:p>
        </w:tc>
      </w:tr>
    </w:tbl>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(the “</w:t>
      </w:r>
      <w:r>
        <w:rPr>
          <w:rFonts w:ascii="Times New Roman;Times;Serif" w:hAnsi="Times New Roman;Times;Serif"/>
          <w:b w:val="false"/>
          <w:i w:val="false"/>
          <w:caps w:val="false"/>
          <w:smallCaps w:val="false"/>
          <w:sz w:val="20"/>
          <w:u w:val="single"/>
        </w:rPr>
        <w:t>Selling Shareholders</w:t>
      </w:r>
      <w:r>
        <w:rPr>
          <w:rFonts w:ascii="Times New Roman;Times;Serif" w:hAnsi="Times New Roman;Times;Serif"/>
          <w:b w:val="false"/>
          <w:i w:val="false"/>
          <w:caps w:val="false"/>
          <w:smallCaps w:val="false"/>
          <w:sz w:val="20"/>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
        <w:gridCol w:w="110"/>
        <w:gridCol w:w="10032"/>
      </w:tblGrid>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distributions to members, partners, stockholders or other equityholders of the Selling Shareholders;</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ordinary brokerage transactions and transactions in which the broker-dealer solicits purchasers;</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block trades in which the broker-dealer will attempt to sell the securities as agent but may position and resell a portion of the block as principal to facilitate the transaction;</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purchases by a broker-dealer as principal and resale by the broker-dealer for its account;</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an exchange distribution in accordance with the rules of the applicable exchange;</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privately negotiated transactions;</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Short sales and settlement of short sales;</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in transactions through broker-dealers that agree with the Selling Shareholders to sell a specified number of such securities at a stipulated price per security;</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through the writing or settlement of options or other hedging transactions, whether through an options exchange or otherwise;</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broker-dealers may agree with the Selling Shareholders to sell a specified number of such shares at a stipulated price per share;</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a combination of any such methods of sale; or</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rFonts w:ascii="Symbol" w:hAnsi="Symbol"/>
                <w:sz w:val="20"/>
              </w:rPr>
            </w:pPr>
            <w:r>
              <w:rPr>
                <w:rFonts w:ascii="Symbol" w:hAnsi="Symbol"/>
                <w:sz w:val="20"/>
              </w:rPr>
              <w:t>·</w:t>
              <w:tab/>
            </w:r>
          </w:p>
        </w:tc>
        <w:tc>
          <w:tcPr>
            <w:tcW w:w="10032" w:type="dxa"/>
            <w:tcBorders/>
            <w:vAlign w:val="center"/>
          </w:tcPr>
          <w:p>
            <w:pPr>
              <w:pStyle w:val="TableContents"/>
              <w:bidi w:val="0"/>
              <w:spacing w:before="0" w:after="283"/>
              <w:jc w:val="left"/>
              <w:rPr>
                <w:sz w:val="20"/>
              </w:rPr>
            </w:pPr>
            <w:r>
              <w:rPr>
                <w:sz w:val="20"/>
              </w:rPr>
              <w:t>any other method permitted pursuant to applicable law.</w:t>
            </w:r>
          </w:p>
        </w:tc>
      </w:tr>
      <w:tr>
        <w:trPr/>
        <w:tc>
          <w:tcPr>
            <w:tcW w:w="63" w:type="dxa"/>
            <w:tcBorders/>
            <w:vAlign w:val="center"/>
          </w:tcPr>
          <w:p>
            <w:pPr>
              <w:pStyle w:val="TableContents"/>
              <w:bidi w:val="0"/>
              <w:spacing w:before="0" w:after="283"/>
              <w:ind w:left="0" w:right="0" w:hanging="234"/>
              <w:jc w:val="left"/>
              <w:rPr/>
            </w:pPr>
            <w:r>
              <w:rPr/>
              <w:t> </w:t>
            </w:r>
          </w:p>
        </w:tc>
        <w:tc>
          <w:tcPr>
            <w:tcW w:w="110" w:type="dxa"/>
            <w:tcBorders/>
            <w:vAlign w:val="center"/>
          </w:tcPr>
          <w:p>
            <w:pPr>
              <w:pStyle w:val="TableContents"/>
              <w:bidi w:val="0"/>
              <w:spacing w:before="0" w:after="283"/>
              <w:jc w:val="center"/>
              <w:rPr/>
            </w:pPr>
            <w:r>
              <w:rPr/>
              <w:t> </w:t>
            </w:r>
          </w:p>
        </w:tc>
        <w:tc>
          <w:tcPr>
            <w:tcW w:w="10032"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securities under Rule 144 or any other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available, rather than under this prospectus. The Selling Shareholders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Shareholder holder that is an entity may elect to make an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Shareholders also may transfer the securities in other circumstances, in which case the transferees, pledgees or other successors-in-interest will be the selling beneficial owners for purposes of this prospectus. Upon being notified by the Selling Shareholders that a donee, pledgee, transferee, other successor-in-interest intends to sell our securities, we will, to the extent required, promptly file a supplement to this prospectus to name specifically such person as a Selling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subject to certain exceptions,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A - 2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Shareholders are those previously issued to the Selling Shareholders, and those issuable to the Selling Shareholders, upon exercise of the warrants. For additional information regarding the issuances of those ordinary shares and warrants, see “Private Placement of Ordinary Shares and Warrants” above. We are registering the ordinary shares in order to permit the Selling Shareholders to offer the shares for resale from time to time. Except for the ownership of the ordinary shares and the warrants, the Selling Shareholders have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ordinary shares by each of the Selling Shareholders. The second column lists the number of ordinary shares beneficially owned by each Selling Shareholder, based on its ownership of the ordinary shares and warrants, as of ________, 2026, assuming exercise of the warrants held by the Selling Shareholders on that date, without regard to any limitations on exercises.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ordinary shares being offered by this prospectus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Shareholders, this prospectus generally covers the resale of the sum of (i) the number of ordinary shares issued to the Selling Shareholders in the “Private Placement of Ordinary Shares and Warrants” described above and (ii) the maximum number of ordinary shares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a Selling Shareholder may not exercise the warrants to the extent such exercise would cause such Selling Shareholder, together with its affiliates and attribution parties, to beneficially own a number of ordinary shares which would exceed 4.99% or 9.99%, as applicable, of our then outstanding ordinary shares following such exercise, excluding for purposes of such determination ordinary shares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tbl>
      <w:tblPr>
        <w:tblW w:w="6830" w:type="dxa"/>
        <w:jc w:val="left"/>
        <w:tblInd w:w="-10" w:type="dxa"/>
        <w:tblLayout w:type="fixed"/>
        <w:tblCellMar>
          <w:top w:w="28" w:type="dxa"/>
          <w:left w:w="28" w:type="dxa"/>
          <w:bottom w:w="28" w:type="dxa"/>
          <w:right w:w="28" w:type="dxa"/>
        </w:tblCellMar>
      </w:tblPr>
      <w:tblGrid>
        <w:gridCol w:w="1370"/>
        <w:gridCol w:w="1820"/>
        <w:gridCol w:w="1850"/>
        <w:gridCol w:w="1790"/>
      </w:tblGrid>
      <w:tr>
        <w:trPr/>
        <w:tc>
          <w:tcPr>
            <w:tcW w:w="1370" w:type="dxa"/>
            <w:tcBorders>
              <w:top w:val="single" w:sz="8" w:space="0" w:color="D9D9D9"/>
              <w:left w:val="single" w:sz="8" w:space="0" w:color="D9D9D9"/>
              <w:bottom w:val="single" w:sz="8" w:space="0" w:color="D9D9D9"/>
              <w:right w:val="single" w:sz="8" w:space="0" w:color="D9D9D9"/>
            </w:tcBorders>
            <w:vAlign w:val="center"/>
          </w:tcPr>
          <w:p>
            <w:pPr>
              <w:pStyle w:val="TableContents"/>
              <w:bidi w:val="0"/>
              <w:jc w:val="center"/>
              <w:rPr>
                <w:b/>
                <w:sz w:val="20"/>
                <w:u w:val="single"/>
              </w:rPr>
            </w:pPr>
            <w:r>
              <w:rPr>
                <w:b/>
                <w:sz w:val="20"/>
                <w:u w:val="single"/>
              </w:rPr>
              <w:t>Name of Selling</w:t>
            </w:r>
          </w:p>
          <w:p>
            <w:pPr>
              <w:pStyle w:val="TableContents"/>
              <w:bidi w:val="0"/>
              <w:spacing w:before="0" w:after="283"/>
              <w:jc w:val="center"/>
              <w:rPr>
                <w:b/>
                <w:sz w:val="20"/>
                <w:u w:val="single"/>
              </w:rPr>
            </w:pPr>
            <w:r>
              <w:rPr>
                <w:b/>
                <w:sz w:val="20"/>
                <w:u w:val="single"/>
              </w:rPr>
              <w:t>Shareholder</w:t>
            </w:r>
          </w:p>
        </w:tc>
        <w:tc>
          <w:tcPr>
            <w:tcW w:w="1820" w:type="dxa"/>
            <w:tcBorders>
              <w:top w:val="single" w:sz="8" w:space="0" w:color="D9D9D9"/>
              <w:left w:val="single" w:sz="8" w:space="0" w:color="D9D9D9"/>
              <w:bottom w:val="single" w:sz="8" w:space="0" w:color="D9D9D9"/>
              <w:right w:val="single" w:sz="8" w:space="0" w:color="D9D9D9"/>
            </w:tcBorders>
            <w:vAlign w:val="center"/>
          </w:tcPr>
          <w:p>
            <w:pPr>
              <w:pStyle w:val="TableContents"/>
              <w:bidi w:val="0"/>
              <w:spacing w:before="0" w:after="283"/>
              <w:jc w:val="center"/>
              <w:rPr>
                <w:b/>
                <w:sz w:val="20"/>
                <w:u w:val="single"/>
              </w:rPr>
            </w:pPr>
            <w:r>
              <w:rPr>
                <w:b/>
                <w:sz w:val="20"/>
                <w:u w:val="single"/>
              </w:rPr>
              <w:t xml:space="preserve">Number of Ordinary </w:t>
              <w:br/>
              <w:t xml:space="preserve">Shares Owned Prior </w:t>
              <w:br/>
              <w:t>to Offering</w:t>
            </w:r>
          </w:p>
        </w:tc>
        <w:tc>
          <w:tcPr>
            <w:tcW w:w="1850" w:type="dxa"/>
            <w:tcBorders>
              <w:top w:val="single" w:sz="8" w:space="0" w:color="D9D9D9"/>
              <w:left w:val="single" w:sz="8" w:space="0" w:color="D9D9D9"/>
              <w:bottom w:val="single" w:sz="8" w:space="0" w:color="D9D9D9"/>
              <w:right w:val="single" w:sz="8" w:space="0" w:color="D9D9D9"/>
            </w:tcBorders>
            <w:vAlign w:val="center"/>
          </w:tcPr>
          <w:p>
            <w:pPr>
              <w:pStyle w:val="TableContents"/>
              <w:bidi w:val="0"/>
              <w:jc w:val="center"/>
              <w:rPr>
                <w:b/>
                <w:sz w:val="20"/>
                <w:u w:val="single"/>
              </w:rPr>
            </w:pPr>
            <w:r>
              <w:rPr>
                <w:b/>
                <w:sz w:val="20"/>
                <w:u w:val="single"/>
              </w:rPr>
              <w:t>Maximum Number of</w:t>
              <w:br/>
              <w:t>OrdinaryShares to be</w:t>
              <w:br/>
              <w:t>Sold Pursuant to this</w:t>
            </w:r>
          </w:p>
          <w:p>
            <w:pPr>
              <w:pStyle w:val="TableContents"/>
              <w:bidi w:val="0"/>
              <w:spacing w:before="0" w:after="283"/>
              <w:jc w:val="center"/>
              <w:rPr>
                <w:b/>
                <w:sz w:val="20"/>
                <w:u w:val="single"/>
              </w:rPr>
            </w:pPr>
            <w:r>
              <w:rPr>
                <w:b/>
                <w:sz w:val="20"/>
                <w:u w:val="single"/>
              </w:rPr>
              <w:t>Prospectus</w:t>
            </w:r>
          </w:p>
        </w:tc>
        <w:tc>
          <w:tcPr>
            <w:tcW w:w="1790" w:type="dxa"/>
            <w:tcBorders>
              <w:top w:val="single" w:sz="8" w:space="0" w:color="D9D9D9"/>
              <w:left w:val="single" w:sz="8" w:space="0" w:color="D9D9D9"/>
              <w:bottom w:val="single" w:sz="8" w:space="0" w:color="D9D9D9"/>
              <w:right w:val="single" w:sz="8" w:space="0" w:color="D9D9D9"/>
            </w:tcBorders>
            <w:vAlign w:val="center"/>
          </w:tcPr>
          <w:p>
            <w:pPr>
              <w:pStyle w:val="TableContents"/>
              <w:bidi w:val="0"/>
              <w:jc w:val="center"/>
              <w:rPr>
                <w:b/>
                <w:sz w:val="20"/>
                <w:u w:val="single"/>
              </w:rPr>
            </w:pPr>
            <w:r>
              <w:rPr>
                <w:b/>
                <w:sz w:val="20"/>
                <w:u w:val="single"/>
              </w:rPr>
              <w:t xml:space="preserve">Numberof Ordinary </w:t>
              <w:br/>
              <w:t>Shares Owned After</w:t>
            </w:r>
          </w:p>
          <w:p>
            <w:pPr>
              <w:pStyle w:val="TableContents"/>
              <w:bidi w:val="0"/>
              <w:spacing w:before="0" w:after="283"/>
              <w:jc w:val="center"/>
              <w:rPr>
                <w:b/>
                <w:sz w:val="20"/>
                <w:u w:val="single"/>
              </w:rPr>
            </w:pPr>
            <w:r>
              <w:rPr>
                <w:b/>
                <w:sz w:val="20"/>
                <w:u w:val="single"/>
              </w:rPr>
              <w:t>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 Notice and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of ordinary shares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of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understands that the Company has filed or intends to file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registration and resale under Rule 415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Registrable Securities, in accordance with the terms of the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shareholder in the Registration Statement and the related prospectus. Accordingly, Holders and beneficial owners of Registrable Securities are advised to consult their own securities law counsel regarding the consequences of being named or not being named as a selling shareholder in the Registration Statement and the related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(the “</w:t>
      </w:r>
      <w:r>
        <w:rPr>
          <w:rFonts w:ascii="Times New Roman;Times;Serif" w:hAnsi="Times New Roman;Times;Serif"/>
          <w:b w:val="false"/>
          <w:i w:val="false"/>
          <w:caps w:val="false"/>
          <w:smallCaps w:val="false"/>
          <w:sz w:val="20"/>
          <w:u w:val="single"/>
        </w:rPr>
        <w:t>Selling Shareholder</w:t>
      </w:r>
      <w:r>
        <w:rPr>
          <w:rFonts w:ascii="Times New Roman;Times;Serif" w:hAnsi="Times New Roman;Times;Serif"/>
          <w:b w:val="false"/>
          <w:i w:val="false"/>
          <w:caps w:val="false"/>
          <w:smallCaps w:val="false"/>
          <w:sz w:val="20"/>
        </w:rPr>
        <w:t>”) of Registrable Securities hereby elects to include the Registrable Securities owned by it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Full Legal Name of Selling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left"/>
              <w:rPr/>
            </w:pPr>
            <w:r>
              <w:rPr/>
              <w:t>Full Legal Name of Registered Holder (if not the same as (a) above) through which Registrable Securities are held: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left"/>
              <w:rPr/>
            </w:pPr>
            <w:r>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Address for Notices to Selling Shareholder:</w:t>
      </w:r>
    </w:p>
    <w:p>
      <w:pPr>
        <w:pStyle w:val="TextBody"/>
        <w:bidi w:val="0"/>
        <w:spacing w:before="0" w:after="0"/>
        <w:ind w:left="0" w:right="0" w:hanging="0"/>
        <w:jc w:val="left"/>
        <w:rPr>
          <w:caps w:val="false"/>
          <w:smallCaps w:val="false"/>
        </w:rPr>
      </w:pPr>
      <w:r>
        <w:rPr>
          <w:caps w:val="false"/>
          <w:smallCaps w:val="false"/>
        </w:rPr>
        <w:t> </w:t>
      </w:r>
    </w:p>
    <w:tbl>
      <w:tblPr>
        <w:tblW w:w="1340" w:type="dxa"/>
        <w:jc w:val="left"/>
        <w:tblInd w:w="0" w:type="dxa"/>
        <w:tblLayout w:type="fixed"/>
        <w:tblCellMar>
          <w:top w:w="0" w:type="dxa"/>
          <w:left w:w="0" w:type="dxa"/>
          <w:bottom w:w="28" w:type="dxa"/>
          <w:right w:w="0" w:type="dxa"/>
        </w:tblCellMar>
      </w:tblPr>
      <w:tblGrid>
        <w:gridCol w:w="1340"/>
      </w:tblGrid>
      <w:tr>
        <w:trPr/>
        <w:tc>
          <w:tcPr>
            <w:tcW w:w="1340" w:type="dxa"/>
            <w:tcBorders>
              <w:bottom w:val="single" w:sz="8" w:space="0" w:color="000000"/>
            </w:tcBorders>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sz w:val="20"/>
              </w:rPr>
            </w:pPr>
            <w:r>
              <w:rPr>
                <w:sz w:val="20"/>
              </w:rPr>
              <w:t>Telephone:</w:t>
            </w:r>
          </w:p>
        </w:tc>
      </w:tr>
      <w:tr>
        <w:trPr/>
        <w:tc>
          <w:tcPr>
            <w:tcW w:w="1340" w:type="dxa"/>
            <w:tcBorders/>
            <w:tcMar>
              <w:bottom w:w="0" w:type="dxa"/>
            </w:tcMar>
            <w:vAlign w:val="center"/>
          </w:tcPr>
          <w:p>
            <w:pPr>
              <w:pStyle w:val="TableContents"/>
              <w:bidi w:val="0"/>
              <w:spacing w:before="0" w:after="283"/>
              <w:jc w:val="left"/>
              <w:rPr>
                <w:sz w:val="20"/>
              </w:rPr>
            </w:pPr>
            <w:r>
              <w:rPr>
                <w:sz w:val="20"/>
              </w:rPr>
              <w:t>Fax:</w:t>
            </w:r>
          </w:p>
        </w:tc>
      </w:tr>
      <w:tr>
        <w:trPr/>
        <w:tc>
          <w:tcPr>
            <w:tcW w:w="1340" w:type="dxa"/>
            <w:tcBorders/>
            <w:tcMar>
              <w:bottom w:w="0" w:type="dxa"/>
            </w:tcMar>
            <w:vAlign w:val="center"/>
          </w:tcPr>
          <w:p>
            <w:pPr>
              <w:pStyle w:val="TableContents"/>
              <w:bidi w:val="0"/>
              <w:spacing w:before="0" w:after="283"/>
              <w:jc w:val="left"/>
              <w:rPr>
                <w:sz w:val="20"/>
              </w:rPr>
            </w:pPr>
            <w:r>
              <w:rPr>
                <w:sz w:val="20"/>
              </w:rPr>
              <w:t>Contact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Broker-Dealer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Are you a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left"/>
              <w:rPr/>
            </w:pPr>
            <w:r>
              <w:rPr/>
              <w:t>If “yes” to Section 3(a), did you receive your Registrable Securities as compensation for investment banking services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7"/>
        <w:gridCol w:w="9641"/>
      </w:tblGrid>
      <w:tr>
        <w:trPr/>
        <w:tc>
          <w:tcPr>
            <w:tcW w:w="3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Note:</w:t>
            </w:r>
          </w:p>
        </w:tc>
        <w:tc>
          <w:tcPr>
            <w:tcW w:w="9641" w:type="dxa"/>
            <w:tcBorders/>
            <w:vAlign w:val="center"/>
          </w:tcPr>
          <w:p>
            <w:pPr>
              <w:pStyle w:val="TableContents"/>
              <w:bidi w:val="0"/>
              <w:spacing w:before="0" w:after="283"/>
              <w:jc w:val="left"/>
              <w:rPr/>
            </w:pPr>
            <w:r>
              <w:rPr/>
              <w:t>If “no” to Section 3(b), the Commission’s staff has indicated that you should be identified as an underwriter in the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C - 2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you an affiliate of a broker-dealer?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7"/>
        <w:gridCol w:w="9641"/>
      </w:tblGrid>
      <w:tr>
        <w:trPr/>
        <w:tc>
          <w:tcPr>
            <w:tcW w:w="3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pPr>
            <w:r>
              <w:rPr/>
              <w:t>Note:</w:t>
            </w:r>
          </w:p>
        </w:tc>
        <w:tc>
          <w:tcPr>
            <w:tcW w:w="9641" w:type="dxa"/>
            <w:tcBorders/>
            <w:vAlign w:val="center"/>
          </w:tcPr>
          <w:p>
            <w:pPr>
              <w:pStyle w:val="TableContents"/>
              <w:bidi w:val="0"/>
              <w:spacing w:before="0" w:after="283"/>
              <w:jc w:val="left"/>
              <w:rPr/>
            </w:pPr>
            <w:r>
              <w:rPr/>
              <w:t>If “no” to Section 3(d), the Commission’s staff has indicated that you should be identified as an underwriter in the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6"/>
        <w:gridCol w:w="9937"/>
      </w:tblGrid>
      <w:tr>
        <w:trPr/>
        <w:tc>
          <w:tcPr>
            <w:tcW w:w="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b/>
              </w:rPr>
            </w:pPr>
            <w:r>
              <w:rPr>
                <w:b/>
              </w:rPr>
              <w:t>4.</w:t>
            </w:r>
          </w:p>
        </w:tc>
        <w:tc>
          <w:tcPr>
            <w:tcW w:w="9937" w:type="dxa"/>
            <w:tcBorders/>
            <w:vAlign w:val="center"/>
          </w:tcPr>
          <w:p>
            <w:pPr>
              <w:pStyle w:val="TableContents"/>
              <w:bidi w:val="0"/>
              <w:spacing w:before="0" w:after="283"/>
              <w:jc w:val="left"/>
              <w:rPr>
                <w:b/>
              </w:rPr>
            </w:pPr>
            <w:r>
              <w:rPr>
                <w:b/>
              </w:rPr>
              <w:t>Beneficial Ownership of Securities of the Company Owned by the Selling Shareholder.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35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135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8"/>
        <w:gridCol w:w="9821"/>
      </w:tblGrid>
      <w:tr>
        <w:trPr/>
        <w:tc>
          <w:tcPr>
            <w:tcW w:w="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(a)</w:t>
            </w:r>
          </w:p>
        </w:tc>
        <w:tc>
          <w:tcPr>
            <w:tcW w:w="9821" w:type="dxa"/>
            <w:tcBorders/>
            <w:vAlign w:val="center"/>
          </w:tcPr>
          <w:p>
            <w:pPr>
              <w:pStyle w:val="TableContents"/>
              <w:bidi w:val="0"/>
              <w:spacing w:before="0" w:after="283"/>
              <w:jc w:val="left"/>
              <w:rPr/>
            </w:pPr>
            <w:r>
              <w:rPr/>
              <w:t>Type and Amount of other securities beneficially owned by the Selling Shareholder: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tcMar>
              <w:bottom w:w="0" w:type="dxa"/>
            </w:tcMar>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5"/>
        <w:gridCol w:w="557"/>
        <w:gridCol w:w="9543"/>
      </w:tblGrid>
      <w:tr>
        <w:trPr/>
        <w:tc>
          <w:tcPr>
            <w:tcW w:w="10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b/>
              </w:rPr>
            </w:pPr>
            <w:r>
              <w:rPr>
                <w:b/>
              </w:rPr>
              <w:t>5.</w:t>
            </w:r>
          </w:p>
        </w:tc>
        <w:tc>
          <w:tcPr>
            <w:tcW w:w="9543" w:type="dxa"/>
            <w:tcBorders/>
            <w:vAlign w:val="center"/>
          </w:tcPr>
          <w:p>
            <w:pPr>
              <w:pStyle w:val="TableContents"/>
              <w:bidi w:val="0"/>
              <w:spacing w:before="0" w:after="283"/>
              <w:jc w:val="left"/>
              <w:rPr>
                <w:b/>
              </w:rPr>
            </w:pPr>
            <w:r>
              <w:rPr>
                <w:b/>
              </w:rPr>
              <w:t>Relationships with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35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135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C - 3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firstLine="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515"/>
        <w:gridCol w:w="1505"/>
      </w:tblGrid>
      <w:tr>
        <w:trPr/>
        <w:tc>
          <w:tcPr>
            <w:tcW w:w="515" w:type="dxa"/>
            <w:tcBorders/>
            <w:vAlign w:val="center"/>
          </w:tcPr>
          <w:p>
            <w:pPr>
              <w:pStyle w:val="TableContents"/>
              <w:bidi w:val="0"/>
              <w:spacing w:before="0" w:after="283"/>
              <w:jc w:val="left"/>
              <w:rPr>
                <w:sz w:val="20"/>
              </w:rPr>
            </w:pPr>
            <w:r>
              <w:rPr>
                <w:sz w:val="20"/>
              </w:rPr>
              <w:t xml:space="preserve">Date: </w:t>
            </w:r>
          </w:p>
        </w:tc>
        <w:tc>
          <w:tcPr>
            <w:tcW w:w="15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FAX A COPY (OR EMAIL A .PDF COPY) OF THE COMPLETED AND EXECUTED NOTICE AND QUESTIONNAIRE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- 4</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42144</Words>
  <Characters>223967</Characters>
  <CharactersWithSpaces>267472</CharactersWithSpaces>
  <Paragraphs>1432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