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5891.htm"/>
      <w:bookmarkStart w:id="1" w:name="kszk2635891"/>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5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8_edei--EntityIncorporationStateCo"/>
            <w:bookmarkEnd w:id="5"/>
            <w:r>
              <w:rPr>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A_edei--EntityFileNumber_c20260508"/>
            <w:bookmarkEnd w:id="6"/>
            <w:r>
              <w:rPr>
                <w:sz w:val="20"/>
              </w:rPr>
              <w:t>001-38556</w:t>
            </w:r>
          </w:p>
        </w:tc>
        <w:tc>
          <w:tcPr>
            <w:tcW w:w="6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sz w:val="20"/>
              </w:rPr>
            </w:pPr>
            <w:bookmarkStart w:id="7" w:name="xdx_904_edei--EntityTaxIdentificationNum"/>
            <w:bookmarkEnd w:id="7"/>
            <w:r>
              <w:rPr>
                <w:sz w:val="20"/>
              </w:rPr>
              <w:t>Not Applicable</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sz w:val="20"/>
              </w:rPr>
            </w:pPr>
            <w:r>
              <w:rPr>
                <w:sz w:val="20"/>
              </w:rPr>
              <w:t>(I.R.S. Employer</w:t>
              <w:br/>
              <w:t>Identification)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u w:val="single"/>
        </w:rPr>
        <w:t>Kiryat Hadassah, Minrav Building –</w:t>
      </w:r>
      <w:bookmarkStart w:id="9" w:name="xdx_903_edei--EntityAddressAddressLine2_"/>
      <w:bookmarkEnd w:id="9"/>
      <w:r>
        <w:rPr>
          <w:rFonts w:ascii="Times New Roman;Times;Serif" w:hAnsi="Times New Roman;Times;Serif"/>
          <w:b w:val="false"/>
          <w:i w:val="false"/>
          <w:caps w:val="false"/>
          <w:smallCaps w:val="false"/>
          <w:sz w:val="20"/>
          <w:u w:val="single"/>
        </w:rPr>
        <w:t xml:space="preserve"> Fifth Floor, </w:t>
      </w:r>
      <w:bookmarkStart w:id="10" w:name="xdx_902_edei--EntityAddressCityOrTown_c2"/>
      <w:bookmarkEnd w:id="10"/>
      <w:r>
        <w:rPr>
          <w:rFonts w:ascii="Times New Roman;Times;Serif" w:hAnsi="Times New Roman;Times;Serif"/>
          <w:b w:val="false"/>
          <w:i w:val="false"/>
          <w:caps w:val="false"/>
          <w:smallCaps w:val="false"/>
          <w:sz w:val="20"/>
          <w:u w:val="single"/>
        </w:rPr>
        <w:t xml:space="preserve">Jerusalem, </w:t>
      </w:r>
      <w:bookmarkStart w:id="11" w:name="xdx_909_edei--EntityAddressCountry_c2026"/>
      <w:bookmarkEnd w:id="11"/>
      <w:r>
        <w:rPr>
          <w:rFonts w:ascii="Times New Roman;Times;Serif" w:hAnsi="Times New Roman;Times;Serif"/>
          <w:b w:val="false"/>
          <w:i w:val="false"/>
          <w:caps w:val="false"/>
          <w:smallCaps w:val="false"/>
          <w:sz w:val="20"/>
          <w:u w:val="single"/>
        </w:rPr>
        <w:t xml:space="preserve">Israel </w:t>
      </w:r>
      <w:bookmarkStart w:id="12" w:name="xdx_902_edei--EntityAddressPostalZipCode"/>
      <w:bookmarkEnd w:id="12"/>
      <w:r>
        <w:rPr>
          <w:rFonts w:ascii="Times New Roman;Times;Serif" w:hAnsi="Times New Roman;Times;Serif"/>
          <w:b w:val="false"/>
          <w:i w:val="false"/>
          <w:caps w:val="false"/>
          <w:smallCaps w:val="false"/>
          <w:sz w:val="20"/>
          <w:u w:val="single"/>
        </w:rPr>
        <w:t>9112002</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3" w:name="xdx_90A_edei--CityAreaCode_c20260508__20"/>
      <w:bookmarkEnd w:id="13"/>
      <w:r>
        <w:rPr>
          <w:rFonts w:ascii="Times New Roman;Times;Serif" w:hAnsi="Times New Roman;Times;Serif"/>
          <w:b w:val="false"/>
          <w:i w:val="false"/>
          <w:caps w:val="false"/>
          <w:smallCaps w:val="false"/>
          <w:sz w:val="20"/>
          <w:u w:val="single"/>
        </w:rPr>
        <w:t>972-</w:t>
      </w:r>
      <w:bookmarkStart w:id="14" w:name="xdx_90A_edei--LocalPhoneNumber_c20260508"/>
      <w:bookmarkEnd w:id="14"/>
      <w:r>
        <w:rPr>
          <w:rFonts w:ascii="Times New Roman;Times;Serif" w:hAnsi="Times New Roman;Times;Serif"/>
          <w:b w:val="false"/>
          <w:i w:val="false"/>
          <w:caps w:val="false"/>
          <w:smallCaps w:val="false"/>
          <w:sz w:val="20"/>
          <w:u w:val="single"/>
        </w:rPr>
        <w:t>2-532-7151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B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bookmarkStart w:id="19" w:name="xdx_903_edei--Security12bTitle_c20260508"/>
            <w:bookmarkEnd w:id="19"/>
            <w:r>
              <w:rPr>
                <w:sz w:val="20"/>
              </w:rPr>
              <w:t>Ordinary Shares, par value of NIS 0.0000769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5_edei--TradingSymbol_c20260508__2"/>
            <w:bookmarkEnd w:id="20"/>
            <w:r>
              <w:rPr>
                <w:sz w:val="20"/>
              </w:rPr>
              <w:t>ENTX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Entera Bio Ltd., a company organized under the laws of the State of Israel (“we,” “us,” “our” or the “Company”), issued a press release announcing its financial results for the three months ended June 30, 2026 and business updates. A copy of the press release is furnished as Exhibit 99.1 to this Current Report on Form 8-K and incorporated by reference in this Item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is incorporated by reference in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28" w:type="dxa"/>
          <w:right w:w="0" w:type="dxa"/>
        </w:tblCellMar>
      </w:tblPr>
      <w:tblGrid>
        <w:gridCol w:w="725"/>
        <w:gridCol w:w="60"/>
        <w:gridCol w:w="824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824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both"/>
              <w:rPr/>
            </w:pPr>
            <w:hyperlink w:anchor="exhibit_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240" w:type="dxa"/>
            <w:tcBorders/>
            <w:tcMar>
              <w:bottom w:w="0" w:type="dxa"/>
            </w:tcMar>
            <w:vAlign w:val="center"/>
          </w:tcPr>
          <w:p>
            <w:pPr>
              <w:pStyle w:val="TableContents"/>
              <w:bidi w:val="0"/>
              <w:spacing w:before="0" w:after="283"/>
              <w:jc w:val="left"/>
              <w:rPr/>
            </w:pPr>
            <w:hyperlink w:anchor="exhibit_99-1.htm">
              <w:r>
                <w:rPr>
                  <w:rStyle w:val="InternetLink"/>
                  <w:sz w:val="20"/>
                </w:rPr>
                <w:t>Press Release dated August 7, 2026 announcing the Company’s financial results for the three months</w:t>
              </w:r>
            </w:hyperlink>
            <w:r>
              <w:rPr>
                <w:sz w:val="20"/>
              </w:rPr>
              <w:t xml:space="preserve"> </w:t>
            </w:r>
          </w:p>
        </w:tc>
      </w:tr>
      <w:tr>
        <w:trPr/>
        <w:tc>
          <w:tcPr>
            <w:tcW w:w="72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8240" w:type="dxa"/>
            <w:tcBorders/>
            <w:tcMar>
              <w:bottom w:w="0" w:type="dxa"/>
            </w:tcMar>
            <w:vAlign w:val="center"/>
          </w:tcPr>
          <w:p>
            <w:pPr>
              <w:pStyle w:val="TableContents"/>
              <w:bidi w:val="0"/>
              <w:spacing w:before="0" w:after="283"/>
              <w:jc w:val="left"/>
              <w:rPr/>
            </w:pPr>
            <w:hyperlink w:anchor="exhibit_99-1.htm">
              <w:r>
                <w:rPr>
                  <w:rStyle w:val="InternetLink"/>
                  <w:sz w:val="20"/>
                </w:rPr>
                <w:t>ended June 30, 2026 and business updates.</w:t>
              </w:r>
            </w:hyperlink>
          </w:p>
        </w:tc>
      </w:tr>
      <w:tr>
        <w:trPr/>
        <w:tc>
          <w:tcPr>
            <w:tcW w:w="72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24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1805"/>
        <w:gridCol w:w="320"/>
        <w:gridCol w:w="2450"/>
      </w:tblGrid>
      <w:tr>
        <w:trPr/>
        <w:tc>
          <w:tcPr>
            <w:tcW w:w="180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sz w:val="20"/>
              </w:rPr>
            </w:pPr>
            <w:r>
              <w:rPr>
                <w:sz w:val="20"/>
              </w:rPr>
              <w:t>ENTERA BIO LTD.</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both"/>
              <w:rPr>
                <w:sz w:val="20"/>
              </w:rPr>
            </w:pPr>
            <w:r>
              <w:rPr>
                <w:sz w:val="20"/>
              </w:rPr>
              <w:t xml:space="preserve">Date: August 7, 2026 </w:t>
            </w:r>
          </w:p>
        </w:tc>
        <w:tc>
          <w:tcPr>
            <w:tcW w:w="320" w:type="dxa"/>
            <w:tcBorders/>
            <w:vAlign w:val="center"/>
          </w:tcPr>
          <w:p>
            <w:pPr>
              <w:pStyle w:val="TableContents"/>
              <w:bidi w:val="0"/>
              <w:spacing w:before="0" w:after="283"/>
              <w:jc w:val="both"/>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Miranda Toledano</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240" w:after="60"/>
        <w:ind w:left="0" w:right="0" w:hanging="0"/>
        <w:jc w:val="left"/>
        <w:rPr>
          <w:bdr w:val="single" w:sz="16" w:space="1" w:color="000000"/>
        </w:rPr>
      </w:pPr>
      <w:bookmarkStart w:id="23" w:name="exhibit_99-1.htm"/>
      <w:bookmarkStart w:id="24" w:name="ksexhibit_991"/>
      <w:bookmarkEnd w:id="23"/>
      <w:bookmarkEnd w:id="24"/>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Announces Second Quarter 2026 Financial Results and Business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Food and Drug Administration (FDA) </w:t>
      </w:r>
      <w:r>
        <w:rPr>
          <w:rFonts w:ascii="Times New Roman;Times;Serif" w:hAnsi="Times New Roman;Times;Serif"/>
          <w:b w:val="false"/>
          <w:i/>
          <w:caps w:val="false"/>
          <w:smallCaps w:val="false"/>
          <w:sz w:val="20"/>
        </w:rPr>
        <w:t>Alignment on 12-Month Registrational Phase 3 Study to Support NDA for EB613 - the First Oral Anabolic Tablet in Development for Postmenopausal Women with Osteoporosis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Oversubscribed $275 Million Private Placement Led by BVF Partners L.P. (“BVF”) with Participation from Leading Institutional Healthcare Investors to Fund EB613 through Anticipated Submission of NDA to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EB613 Phase 3 Study Initiation Planned for Late 2026 with Topline Data Anticipated in the Second Half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 Enabling Studies Ongoing for EB612 - the First Oral Peptide Replacement Tablet in Development for Patients with Hypoparathyroidism – Intention to File IND in First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August 7, 2026 -- Entera Bio Ltd. (NASDAQ: ENTX) (“Entera” or the “Company”), a leader in the development of oral peptides, today reported financial results and key business updates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first half of 2026 marked one of the most consequential periods in Entera’s history. Since 2022, our core team embarked upon a journey of deconstruction and reconstruction to advance our science and optimize our pipeline. Despite scarce resources and particularly turbulent times, today, our N-Tab</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is developing one of the richest pipelines of clinical and near-clinical first in class oral peptide assets; and we have garnered the trust of global talent, luminaries, and financiers who support our mission and vision. Thank you. Osteoporosis is one of the foremost underserved health issues globally, and associated fracture rates continue to rise despite existing treatments. Our discussions with patients and their caregivers across primary care, gynecology, orthopedic surgery, rheumatology and endocrinology acknowledge the urgent need for new treatments, especially, an oral anabolic therapy. We are developing EB613 to address this treatment gap. Our plan is to do the same with EB612 for patients with hypoparathyroidism, also a women-centric condition. The capital raising transaction we announced on July 27, 2026, led by BVF is transformational for Entera. To our knowledge, the transaction is the largest biotech PIPE and the 9th largest PIPE, inclusive of the high-tech sector, on record in Israel. So, we shattered a few records and moving forward, we intend to continue to shatter more records across all our programs with a cohesive, global team of colleagues who are obsessed with our vision and steadfast in our execution,” said Miranda Toledano, Chief Executive Officer of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Recent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EB613: First Oral PTH(1-34) Anabolic Tablet for Osteoporosis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Positive FDA Feedback on 12-Month Registrational Phase 3 Study Received: </w:t>
            </w:r>
            <w:r>
              <w:rPr>
                <w:rFonts w:ascii="Times New Roman;Times;Serif" w:hAnsi="Times New Roman;Times;Serif"/>
              </w:rPr>
              <w:t>In June 2026, Entera announced that the FDA accepted Entera’s plan to conduct a single, randomized, double-blind, placebo-controlled Phase 3 trial in approximately 750 postmenopausal women with osteoporosis, with a primary endpoint of percent change from baseline in total hip bone mineral density (BMD) at Month 12 to support a potential new drug application (“NDA”) submission. The proposed NDA package will also include Entera’s scientific bridge analysis with Forteo® (teriparatide SC injection, Eli Lilly) under the 505(b)(2) pathway, and a transiliac crest bone biopsy sub-study in a subset of patients. The FDA also agreed with Entera’s proposal to continue following randomized patients for 24 months in an open-label extension study under a separate protocol. Entera plans to submit data through up to 18 months as part of the 120-day safety update to its NDA. Additionally, Entera will submit the complete 2-year data upon completion of the open-label extension study to characterize further the durability of the treatment effect, safety, and sequence data for EB613 followed by a standard anti-resorptive therapy for 12 months. Entera plans to initiate the registrational Phase 3 study in late 2026, with topline results anticipated in the second half of 2028.</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Single Tablet EB613 Data Presented as Late-Breaking Oral at ENDO 2026:</w:t>
            </w:r>
            <w:r>
              <w:rPr>
                <w:rFonts w:ascii="Times New Roman;Times;Serif" w:hAnsi="Times New Roman;Times;Serif"/>
              </w:rPr>
              <w:t xml:space="preserve"> In June 2026, at the annual meeting of the Endocrine Society (ENDO 2026), Entera presented comparative Phase 1 data demonstrating that single-tablet EB613 achieved a pharmacokinetic (PK) and pharmacodynamic (PD) profile comparable to both multi-tablet EB613, which was evaluated in the Company’s Phase 2 study, and Forteo®. Comparable calcemic effects and consistent suppression of endogenous PTH(1-84) were shown for both oral EB613 treatments and Forteo®. These data support advancing single-tablet EB613 into the planned Phase 3 registrational study.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Key Opinion Leader (KOL) Webinar on Osteoporosis Treatment Landscape:</w:t>
            </w:r>
            <w:r>
              <w:rPr>
                <w:rFonts w:ascii="Times New Roman;Times;Serif" w:hAnsi="Times New Roman;Times;Serif"/>
              </w:rPr>
              <w:t xml:space="preserve"> On April 20, 2026, Entera hosted a virtual KOL roundtable with Dr. Felicia Cosman (Professor of Medicine at Columbia University and a globally recognized authority in osteoporosis and anabolic therapies) and Dr. Steven Goldstein (Professor of Obstetrics and Gynecology at New York University Grossman School of Medicine and former President of both the International Menopause Society and the North American Menopause Society) to gain endocrinology and gynecology insights into the current osteoporosis treatment paradigm. The KOLs highlighted the critical unmet demand for an oral anabolic in this silent, asymptomatic disease and EB613’s potential to transform the treatment paradigm. The full transcript is available here.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EB613 Data Selected for Plenary Poster Presentation at ASBMR 2026:</w:t>
            </w:r>
            <w:r>
              <w:rPr>
                <w:rFonts w:ascii="Times New Roman;Times;Serif" w:hAnsi="Times New Roman;Times;Serif"/>
              </w:rPr>
              <w:t xml:space="preserve"> In August 2026, Entera announced that new Phase 2 analysis of EB613 in postmenopausal women with osteoporosis at high risk of fracture was selected for a plenary poster presentation at the American Society for Bone and Mineral Research (ASBMR) 2026 Annual Meeting, taking place October 9–12, 2026 in Boston, Massachusetts.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EB612: First-in-Class Oral Long-Acting PTH(1-34) Replacement Tablet for Hypoparathyroidism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Robust Preclinical Data Presented at ENDO 2026:</w:t>
            </w:r>
            <w:r>
              <w:rPr>
                <w:rFonts w:ascii="Times New Roman;Times;Serif" w:hAnsi="Times New Roman;Times;Serif"/>
              </w:rPr>
              <w:t xml:space="preserve"> In June 2026, Entera reported preclinical data for EB612, a proprietary first-in-class long-acting PTH(1-34) analog formulated with Entera’s N-Tab® oral peptide platform, at ENDO 2026. Across three preclinical models - a thyroparathyroidectomized (TPTx) rat model, a minipig model, and a non-human primate model - single oral doses of EB612 produced robust bioavailability and rapid, sustained increases in serum calcium lasting approximately three days. EB612 was well tolerated with no safety concerns identified, and the calcemic effects were consistent with those reported for clinically validated injectable PTH-replacement therapies for hypoparathyroidism. Following the previously announced expansion of the Company’s collaboration with OPKO Health (“OPKO”) in February 2026, Entera and OPKO intend to file an Investigational New Drug (IND) application for EB612 in the first half of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EB618: First-in-Class Oral Dual GLP-1/Glucagon (Oxyntomodulin) Tablet for Obesity and Metabolic Disorders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Non-Human Primate PK/PD Data Presented at ENDO 2026:</w:t>
            </w:r>
            <w:r>
              <w:rPr>
                <w:rFonts w:ascii="Times New Roman;Times;Serif" w:hAnsi="Times New Roman;Times;Serif"/>
              </w:rPr>
              <w:t xml:space="preserve"> In June 2026, Entera reported single-dose PK/PD results in non-human primates for EB618, a proprietary long-acting oxyntomodulin analog formulated with Entera’s N-Tab® platform, at ENDO 2026. EB618 exhibited robust bioavailability with dose-proportional systemic exposure across three tested tablet strengths and low variability and produced a dose-proportional pharmacologic effect on postprandial blood glucose levels. EB618 was well tolerated at doses exceeding the anticipated clinical dose range by more than tenfold. These data support the continued clinical development of EB618 as a potential first-in-class oral once-daily GLP-1/glucagon receptor agonist for the treatment of obesity and metabolic disorders. As previously disclosed, Entera expects to evaluate the initiation of EB618 clinical development pursuant to analysis of the Phase 1 SAD/MAD studies of subcutaneous injectable OXM being conducted by OPKO.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Oversubscribed $275 Million Private Placement:</w:t>
            </w:r>
            <w:r>
              <w:rPr>
                <w:rFonts w:ascii="Times New Roman;Times;Serif" w:hAnsi="Times New Roman;Times;Serif"/>
              </w:rPr>
              <w:t xml:space="preserve"> Subsequent to quarter end, in July 2026, Entera announced the oversubscribed private placement which provided gross proceeds of approximately $275.0 million before deducting placement agent fees and offering expenses. The Private Placement was led by existing investor BVF, with participation from new investors, including Longitude Capital, Vivo Capital, TCGX, Spruce Street Capital, Venrock Healthcare Capital Partners, RA Capital Management, Perceptive Advisors, Driehaus Capital Management, Logos Capital, and Catalio Capital Management, among others. Upon closing of the Private Placement, BVF was granted the right to designate two directors to the Company’s board of directors. The net proceeds are anticipated to fully support the Phase 3 registrational program of EB613 through the anticipated submission of NDA to the FDA, advance EB612 into the clinic in collaboration with OPKO and extend the Company’s cash runway into 2030.</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Direct Investment Led by BVF:</w:t>
            </w:r>
            <w:r>
              <w:rPr>
                <w:rFonts w:ascii="Times New Roman;Times;Serif" w:hAnsi="Times New Roman;Times;Serif"/>
              </w:rPr>
              <w:t xml:space="preserve"> In April 2026, Entera announced a private placement led by BVF for approximately $10.0 million in gross proceeds, with the potential for up to $24.5 million in total proceeds upon full exercise of accompanying five-year warrants.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were $11.3 million as of June 30, 2026, and restricted cash was $7.1 million, primarily designated to fund the OPKO collaboration. On a pro forma basis, following the closing of the July 2026 private placement in which the Company received aggregate gross proceeds of approximately $275.0 million, the Company’s cash resources are expected to be sufficient to fully fund the planned Phase 3 registrational program of EB613 through topline results and the anticipated submission of an NDA to the FDA and to support the Company’s operations into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for the three months ended June 30, 2026 were $3.2 million, as compared to $1.5 million for the three months ended June 30, 2025. The increase of $1.7 million was primarily attributable to increased materials, production and other costs related to the preparation of the EB613 Phase 3 program and to activities under the OPKO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for the three months ended June 30, 2026 were $1.4 million, as compared to $1.1 million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$7.3 million, or $0.14 per ordinary share (basic and diluted), for the three months ended June 30, 2026, as compared to $2.7 million, or $0.06 per ordinary share (basic and diluted), for the three months ended June 30, 2025. The increase was primarily driven by a $2.7 million non-cash fair value remeasurement of the pre-funded warrants issued in our April 2026 private placement, which are classified as a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 161) met primary (PD/bone turnover biomarker) and secondary endpoints (BMD). Entera is also developing the first oral Long-Acting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www.enterabio.com or follow us on LinkedIn, Twitter, and Facebook.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the anticipated use of proceeds from the July 2026 private placement; the timing, design, and results of the planned Phase 3 registrational study of EB613; the FDA’s ongoing review of the EB613 program, including the terms and interpretation of the FDA’s feedback on our Clinical Amendment; the timing of the anticipated IND filings for EB612 and EB618 in collaboration with OPKO Health; the timing of and our ability to make regulatory filings and obtain and maintain regulatory approvals for our product candidates; changes in the interpretation of clinical data; results of our clinical trials; the FDA’s interpretation and review of our results from and analysis of our clinical trials; unexpected changes in our ongoing and planned preclinical development and clinical trials;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IR@enterabio.com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7034" w:type="dxa"/>
        <w:jc w:val="left"/>
        <w:tblInd w:w="0" w:type="dxa"/>
        <w:tblLayout w:type="fixed"/>
        <w:tblCellMar>
          <w:top w:w="0" w:type="dxa"/>
          <w:left w:w="0" w:type="dxa"/>
          <w:bottom w:w="0" w:type="dxa"/>
          <w:right w:w="0" w:type="dxa"/>
        </w:tblCellMar>
      </w:tblPr>
      <w:tblGrid>
        <w:gridCol w:w="4295"/>
        <w:gridCol w:w="60"/>
        <w:gridCol w:w="60"/>
        <w:gridCol w:w="1010"/>
        <w:gridCol w:w="60"/>
        <w:gridCol w:w="60"/>
        <w:gridCol w:w="107"/>
        <w:gridCol w:w="1307"/>
        <w:gridCol w:w="75"/>
      </w:tblGrid>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(Audited)</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7,108</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7,775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Accounts receivable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415</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134</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561</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15,993</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2,203</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Pre-funded warrants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9,563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689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rPr>
            </w:pPr>
            <w:r>
              <w:rPr>
                <w:b/>
              </w:rPr>
              <w:t>12,214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b/>
              </w:rPr>
            </w:pPr>
            <w:r>
              <w:rPr>
                <w:b/>
              </w:rPr>
              <w:t>2,892</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13,101</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dollars 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5"/>
        <w:gridCol w:w="60"/>
        <w:gridCol w:w="60"/>
        <w:gridCol w:w="1100"/>
        <w:gridCol w:w="60"/>
        <w:gridCol w:w="60"/>
        <w:gridCol w:w="60"/>
        <w:gridCol w:w="1100"/>
        <w:gridCol w:w="110"/>
      </w:tblGrid>
      <w:tr>
        <w:trPr/>
        <w:tc>
          <w:tcPr>
            <w:tcW w:w="7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1,520</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1,148</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2,668</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2,668</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FINANCIAL EXPENSES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w:t>
            </w:r>
          </w:p>
        </w:tc>
      </w:tr>
      <w:tr>
        <w:trPr/>
        <w:tc>
          <w:tcPr>
            <w:tcW w:w="759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2,656</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b/>
              </w:rPr>
            </w:pPr>
            <w:r>
              <w:rPr>
                <w:b/>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1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b/>
              </w:rPr>
            </w:pPr>
            <w:r>
              <w:rPr>
                <w:b/>
              </w:rPr>
              <w:t>WEIGHTED AVERAGE NUMBER OF SHARES OUTSTANDING USED IN COMPUTATION OF BASIC AND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50,451,232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46,836,700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3180</Words>
  <Characters>18344</Characters>
  <CharactersWithSpaces>21673</CharactersWithSpaces>
  <Paragraphs>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